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96B" w:rsidRPr="00997DA9" w:rsidRDefault="005F0302" w:rsidP="00914B13">
      <w:pPr>
        <w:pStyle w:val="Heading1"/>
      </w:pPr>
      <w:r>
        <w:t xml:space="preserve">MICE Target </w:t>
      </w:r>
      <w:r w:rsidR="00B4226B">
        <w:t>OPERATION &amp; MONITORING</w:t>
      </w:r>
      <w:r w:rsidR="00BC5502" w:rsidRPr="00BC5502">
        <w:rPr>
          <w:vertAlign w:val="superscript"/>
        </w:rPr>
        <w:t>*</w:t>
      </w:r>
    </w:p>
    <w:p w:rsidR="009D1438" w:rsidRPr="00997DA9" w:rsidRDefault="00E8640A" w:rsidP="00732646">
      <w:pPr>
        <w:pStyle w:val="AuthorList"/>
        <w:sectPr w:rsidR="009D1438" w:rsidRPr="00997DA9">
          <w:footnotePr>
            <w:pos w:val="beneathText"/>
            <w:numFmt w:val="chicago"/>
          </w:footnotePr>
          <w:endnotePr>
            <w:numFmt w:val="decimal"/>
          </w:endnotePr>
          <w:type w:val="continuous"/>
          <w:pgSz w:w="11907" w:h="16840" w:code="9"/>
          <w:pgMar w:top="2098" w:right="1134" w:bottom="1077" w:left="1134" w:header="2098" w:footer="1077" w:gutter="0"/>
          <w:cols w:space="720"/>
          <w:titlePg/>
          <w:docGrid w:linePitch="360"/>
        </w:sectPr>
      </w:pPr>
      <w:r w:rsidRPr="00997DA9">
        <w:t xml:space="preserve">C. Booth, </w:t>
      </w:r>
      <w:r w:rsidR="00914B13">
        <w:t>P. Hodgson,</w:t>
      </w:r>
      <w:r w:rsidRPr="00997DA9">
        <w:t xml:space="preserve"> P.</w:t>
      </w:r>
      <w:r w:rsidR="004920FB" w:rsidRPr="00997DA9">
        <w:t xml:space="preserve"> J.</w:t>
      </w:r>
      <w:r w:rsidRPr="00997DA9">
        <w:t xml:space="preserve"> Smith</w:t>
      </w:r>
      <w:r w:rsidR="009D1438" w:rsidRPr="00997DA9">
        <w:t xml:space="preserve">, </w:t>
      </w:r>
      <w:r w:rsidRPr="00997DA9">
        <w:t>Dept. of Physics &amp; Astronomy, University of Sheffield, England</w:t>
      </w:r>
      <w:r w:rsidR="004920FB" w:rsidRPr="00997DA9">
        <w:t>.</w:t>
      </w:r>
    </w:p>
    <w:p w:rsidR="009D1438" w:rsidRPr="00914B13" w:rsidRDefault="009D1438" w:rsidP="003C52DD">
      <w:pPr>
        <w:pStyle w:val="AbstractTitle"/>
        <w:rPr>
          <w:kern w:val="16"/>
        </w:rPr>
      </w:pPr>
      <w:r w:rsidRPr="00914B13">
        <w:rPr>
          <w:kern w:val="16"/>
        </w:rPr>
        <w:lastRenderedPageBreak/>
        <w:t>Abstract</w:t>
      </w:r>
    </w:p>
    <w:p w:rsidR="00661FBC" w:rsidRPr="00661FBC" w:rsidRDefault="00661FBC" w:rsidP="00661FBC">
      <w:pPr>
        <w:rPr>
          <w:szCs w:val="20"/>
        </w:rPr>
      </w:pPr>
      <w:r w:rsidRPr="00661FBC">
        <w:rPr>
          <w:szCs w:val="20"/>
        </w:rPr>
        <w:t>The MICE experiment requires a beam of low energy muons to demonstrate muon cooling. A target mechanism has been developed that inserts a small titanium target into the circulating ISIS beam during the last 2ms before extraction.</w:t>
      </w:r>
    </w:p>
    <w:p w:rsidR="00B4226B" w:rsidRPr="00661FBC" w:rsidRDefault="00661FBC" w:rsidP="00661FBC">
      <w:pPr>
        <w:pStyle w:val="NoSpacing"/>
        <w:ind w:firstLine="170"/>
        <w:rPr>
          <w:szCs w:val="20"/>
        </w:rPr>
      </w:pPr>
      <w:r w:rsidRPr="00661FBC">
        <w:rPr>
          <w:szCs w:val="20"/>
        </w:rPr>
        <w:t>The target mechanism has been in operation in the ISIS beam during 2009 and a large set of useful data has been obtained describing the target’s operational parameters. This has allowed the commissioning of the initial section of the MICE beam line and instrumentation, and the close monitoring of target performance. This work describes these target parameters and presents some of the results from operational shifts.</w:t>
      </w:r>
    </w:p>
    <w:p w:rsidR="0018663C" w:rsidRDefault="0018663C" w:rsidP="005C713D">
      <w:pPr>
        <w:pStyle w:val="Heading2"/>
        <w:spacing w:before="180"/>
      </w:pPr>
      <w:r w:rsidRPr="00EC6D87">
        <w:t>The MICE Experiment</w:t>
      </w:r>
    </w:p>
    <w:p w:rsidR="001D5EF9" w:rsidRPr="001D5EF9" w:rsidRDefault="001D5EF9" w:rsidP="001D5EF9">
      <w:pPr>
        <w:autoSpaceDE w:val="0"/>
        <w:autoSpaceDN w:val="0"/>
        <w:adjustRightInd w:val="0"/>
        <w:rPr>
          <w:rFonts w:ascii="Times New Roman" w:hAnsi="Times New Roman"/>
          <w:szCs w:val="20"/>
          <w:lang w:eastAsia="en-GB"/>
        </w:rPr>
      </w:pPr>
      <w:r w:rsidRPr="001D5EF9">
        <w:rPr>
          <w:rFonts w:ascii="Times New Roman" w:hAnsi="Times New Roman"/>
          <w:szCs w:val="20"/>
          <w:lang w:eastAsia="en-GB"/>
        </w:rPr>
        <w:t>The Muon Ionisation Cooling Experiment (MICE)</w:t>
      </w:r>
      <w:r w:rsidR="00CB7351">
        <w:rPr>
          <w:rFonts w:ascii="Times New Roman" w:hAnsi="Times New Roman"/>
          <w:szCs w:val="20"/>
          <w:lang w:eastAsia="en-GB"/>
        </w:rPr>
        <w:t xml:space="preserve"> </w:t>
      </w:r>
      <w:r w:rsidR="004979EA">
        <w:rPr>
          <w:rFonts w:ascii="Times New Roman" w:hAnsi="Times New Roman"/>
          <w:szCs w:val="20"/>
          <w:lang w:eastAsia="en-GB"/>
        </w:rPr>
        <w:t>[1]</w:t>
      </w:r>
      <w:r w:rsidRPr="001D5EF9">
        <w:rPr>
          <w:rFonts w:ascii="Times New Roman" w:hAnsi="Times New Roman"/>
          <w:szCs w:val="20"/>
          <w:lang w:eastAsia="en-GB"/>
        </w:rPr>
        <w:t xml:space="preserve"> has been designed to practically</w:t>
      </w:r>
      <w:r>
        <w:rPr>
          <w:rFonts w:ascii="Times New Roman" w:hAnsi="Times New Roman"/>
          <w:szCs w:val="20"/>
          <w:lang w:eastAsia="en-GB"/>
        </w:rPr>
        <w:t xml:space="preserve"> </w:t>
      </w:r>
      <w:r w:rsidRPr="001D5EF9">
        <w:rPr>
          <w:rFonts w:ascii="Times New Roman" w:hAnsi="Times New Roman"/>
          <w:szCs w:val="20"/>
          <w:lang w:eastAsia="en-GB"/>
        </w:rPr>
        <w:t>demonstrate the principle of ‘Ionisation Cooling’ a theoretically sound but technologically</w:t>
      </w:r>
      <w:r>
        <w:rPr>
          <w:rFonts w:ascii="Times New Roman" w:hAnsi="Times New Roman"/>
          <w:szCs w:val="20"/>
          <w:lang w:eastAsia="en-GB"/>
        </w:rPr>
        <w:t xml:space="preserve"> </w:t>
      </w:r>
      <w:r w:rsidRPr="001D5EF9">
        <w:rPr>
          <w:rFonts w:ascii="Times New Roman" w:hAnsi="Times New Roman"/>
          <w:szCs w:val="20"/>
          <w:lang w:eastAsia="en-GB"/>
        </w:rPr>
        <w:t>unproven method of reducing the emittance of a muon beam. Ionisation Cooling is</w:t>
      </w:r>
      <w:r>
        <w:rPr>
          <w:rFonts w:ascii="Times New Roman" w:hAnsi="Times New Roman"/>
          <w:szCs w:val="20"/>
          <w:lang w:eastAsia="en-GB"/>
        </w:rPr>
        <w:t xml:space="preserve"> </w:t>
      </w:r>
      <w:r w:rsidRPr="001D5EF9">
        <w:rPr>
          <w:rFonts w:ascii="Times New Roman" w:hAnsi="Times New Roman"/>
          <w:szCs w:val="20"/>
          <w:lang w:eastAsia="en-GB"/>
        </w:rPr>
        <w:t xml:space="preserve">one </w:t>
      </w:r>
      <w:r>
        <w:rPr>
          <w:rFonts w:ascii="Times New Roman" w:hAnsi="Times New Roman"/>
          <w:szCs w:val="20"/>
          <w:lang w:eastAsia="en-GB"/>
        </w:rPr>
        <w:t>of many new technologies</w:t>
      </w:r>
      <w:r w:rsidRPr="001D5EF9">
        <w:rPr>
          <w:rFonts w:ascii="Times New Roman" w:hAnsi="Times New Roman"/>
          <w:szCs w:val="20"/>
          <w:lang w:eastAsia="en-GB"/>
        </w:rPr>
        <w:t xml:space="preserve"> that will be required to build a next generation high intensity neutrino</w:t>
      </w:r>
      <w:r>
        <w:rPr>
          <w:rFonts w:ascii="Times New Roman" w:hAnsi="Times New Roman"/>
          <w:szCs w:val="20"/>
          <w:lang w:eastAsia="en-GB"/>
        </w:rPr>
        <w:t xml:space="preserve"> source such as </w:t>
      </w:r>
      <w:r w:rsidRPr="001D5EF9">
        <w:rPr>
          <w:rFonts w:ascii="Times New Roman" w:hAnsi="Times New Roman"/>
          <w:szCs w:val="20"/>
          <w:lang w:eastAsia="en-GB"/>
        </w:rPr>
        <w:t>the Neutrino Factory.</w:t>
      </w:r>
      <w:r w:rsidR="009438DB">
        <w:rPr>
          <w:rFonts w:ascii="Times New Roman" w:hAnsi="Times New Roman"/>
          <w:szCs w:val="20"/>
          <w:lang w:eastAsia="en-GB"/>
        </w:rPr>
        <w:t xml:space="preserve"> Muon c</w:t>
      </w:r>
      <w:r w:rsidR="005F09A3">
        <w:rPr>
          <w:rFonts w:ascii="Times New Roman" w:hAnsi="Times New Roman"/>
          <w:szCs w:val="20"/>
          <w:lang w:eastAsia="en-GB"/>
        </w:rPr>
        <w:t>ooling is achieved by passing the muons through a set of absorbers</w:t>
      </w:r>
      <w:r w:rsidR="009438DB">
        <w:rPr>
          <w:rFonts w:ascii="Times New Roman" w:hAnsi="Times New Roman"/>
          <w:szCs w:val="20"/>
          <w:lang w:eastAsia="en-GB"/>
        </w:rPr>
        <w:t xml:space="preserve"> within the MICE cooling channel</w:t>
      </w:r>
      <w:r w:rsidR="005F09A3">
        <w:rPr>
          <w:rFonts w:ascii="Times New Roman" w:hAnsi="Times New Roman"/>
          <w:szCs w:val="20"/>
          <w:lang w:eastAsia="en-GB"/>
        </w:rPr>
        <w:t>. Axial momentum lost by the muons within the</w:t>
      </w:r>
      <w:r w:rsidR="009438DB">
        <w:rPr>
          <w:rFonts w:ascii="Times New Roman" w:hAnsi="Times New Roman"/>
          <w:szCs w:val="20"/>
          <w:lang w:eastAsia="en-GB"/>
        </w:rPr>
        <w:t xml:space="preserve"> absorbers is then replaced through the use of</w:t>
      </w:r>
      <w:r w:rsidR="005F09A3">
        <w:rPr>
          <w:rFonts w:ascii="Times New Roman" w:hAnsi="Times New Roman"/>
          <w:szCs w:val="20"/>
          <w:lang w:eastAsia="en-GB"/>
        </w:rPr>
        <w:t xml:space="preserve"> RF cavities.  MICE should demonstrate a transverse emittanc</w:t>
      </w:r>
      <w:r w:rsidR="009438DB">
        <w:rPr>
          <w:rFonts w:ascii="Times New Roman" w:hAnsi="Times New Roman"/>
          <w:szCs w:val="20"/>
          <w:lang w:eastAsia="en-GB"/>
        </w:rPr>
        <w:t>e r</w:t>
      </w:r>
      <w:r w:rsidR="00A44D07">
        <w:rPr>
          <w:rFonts w:ascii="Times New Roman" w:hAnsi="Times New Roman"/>
          <w:szCs w:val="20"/>
          <w:lang w:eastAsia="en-GB"/>
        </w:rPr>
        <w:t>eduction in the muon beam by</w:t>
      </w:r>
      <w:r w:rsidR="009438DB">
        <w:rPr>
          <w:rFonts w:ascii="Times New Roman" w:hAnsi="Times New Roman"/>
          <w:szCs w:val="20"/>
          <w:lang w:eastAsia="en-GB"/>
        </w:rPr>
        <w:t xml:space="preserve"> order of</w:t>
      </w:r>
      <w:r w:rsidR="005F09A3">
        <w:rPr>
          <w:rFonts w:ascii="Times New Roman" w:hAnsi="Times New Roman"/>
          <w:szCs w:val="20"/>
          <w:lang w:eastAsia="en-GB"/>
        </w:rPr>
        <w:t xml:space="preserve"> 10% and will be able to measure the absolute value of the emittance of the muons to within 0.1%.</w:t>
      </w:r>
    </w:p>
    <w:p w:rsidR="009D1438" w:rsidRPr="00EC6D87" w:rsidRDefault="00EC6D87" w:rsidP="005C713D">
      <w:pPr>
        <w:pStyle w:val="Heading2"/>
        <w:spacing w:before="180"/>
      </w:pPr>
      <w:r w:rsidRPr="00EC6D87">
        <w:t>Muon Source</w:t>
      </w:r>
    </w:p>
    <w:p w:rsidR="005F09A3" w:rsidRDefault="005F09A3" w:rsidP="005F09A3">
      <w:pPr>
        <w:rPr>
          <w:lang w:eastAsia="en-GB"/>
        </w:rPr>
      </w:pPr>
      <w:r>
        <w:rPr>
          <w:lang w:eastAsia="en-GB"/>
        </w:rPr>
        <w:t>The source of these muons for the MICE experiment will come from the MICE ‘target mechanism’ an electro-mechanical device that operates parasitically on the ISIS accelerator. ISIS is an 800 MeV proton accelerator that forms part of a neutron spallation source, situated at the Rutherford Appleton Laboratory in the UK, also home of the MICE experiment. This target mechanism, operating at a maximum frequency of 1 Hz, inserts a small titanium target into the ISIS proton beam on demand. The target remains outside the beam envelope during acceleration and then overtakes the shrinking beam envelope to enter the proton beam during the last 2 ms before beam extraction. The target interacts with the ISIS beam halo during these 2 ms to produce pions</w:t>
      </w:r>
      <w:r w:rsidR="009438DB">
        <w:rPr>
          <w:lang w:eastAsia="en-GB"/>
        </w:rPr>
        <w:t>. Their subsequent capture and decay provides the muons</w:t>
      </w:r>
      <w:r>
        <w:rPr>
          <w:lang w:eastAsia="en-GB"/>
        </w:rPr>
        <w:t xml:space="preserve"> for the MICE experiment. </w:t>
      </w:r>
    </w:p>
    <w:p w:rsidR="009D1438" w:rsidRPr="00FC2257" w:rsidRDefault="00F470E4" w:rsidP="005F09A3">
      <w:pPr>
        <w:pStyle w:val="Heading2"/>
        <w:spacing w:before="180"/>
      </w:pPr>
      <w:r w:rsidRPr="00FC2257">
        <w:t>the target drive</w:t>
      </w:r>
    </w:p>
    <w:p w:rsidR="00B4226B" w:rsidRPr="009438DB" w:rsidRDefault="00881E91" w:rsidP="009438DB">
      <w:pPr>
        <w:rPr>
          <w:lang w:eastAsia="en-GB"/>
        </w:rPr>
      </w:pPr>
      <w:r w:rsidRPr="00FC2257">
        <w:rPr>
          <w:kern w:val="16"/>
        </w:rPr>
        <w:t xml:space="preserve">The </w:t>
      </w:r>
      <w:r w:rsidR="00FC2257" w:rsidRPr="00FC2257">
        <w:rPr>
          <w:kern w:val="16"/>
        </w:rPr>
        <w:t xml:space="preserve">target drive is </w:t>
      </w:r>
      <w:r w:rsidR="00EC523A">
        <w:rPr>
          <w:kern w:val="16"/>
        </w:rPr>
        <w:t xml:space="preserve">a </w:t>
      </w:r>
      <w:r w:rsidR="00FC2257" w:rsidRPr="00FC2257">
        <w:rPr>
          <w:kern w:val="16"/>
        </w:rPr>
        <w:t>brushless DC permanent magnet linear motor. This motor consists of a moving magnetic asse</w:t>
      </w:r>
      <w:r w:rsidR="00C50881">
        <w:rPr>
          <w:kern w:val="16"/>
        </w:rPr>
        <w:t xml:space="preserve">mbly </w:t>
      </w:r>
      <w:r w:rsidR="009438DB">
        <w:rPr>
          <w:kern w:val="16"/>
        </w:rPr>
        <w:t xml:space="preserve">that operates inside a set of 24 flat coils that are </w:t>
      </w:r>
      <w:r w:rsidR="009438DB">
        <w:rPr>
          <w:kern w:val="16"/>
        </w:rPr>
        <w:lastRenderedPageBreak/>
        <w:t xml:space="preserve">contained within the stator body. The magnetic assembly is attached to </w:t>
      </w:r>
      <w:r w:rsidR="00C50881">
        <w:rPr>
          <w:kern w:val="16"/>
        </w:rPr>
        <w:t xml:space="preserve">a long </w:t>
      </w:r>
      <w:r w:rsidR="00690593">
        <w:rPr>
          <w:kern w:val="16"/>
        </w:rPr>
        <w:t>cylindrical titanium shaft</w:t>
      </w:r>
      <w:r w:rsidR="00FC2257" w:rsidRPr="00FC2257">
        <w:rPr>
          <w:kern w:val="16"/>
        </w:rPr>
        <w:t xml:space="preserve">. This shaft is magnetically propelled by </w:t>
      </w:r>
      <w:r w:rsidR="00C50881">
        <w:rPr>
          <w:kern w:val="16"/>
        </w:rPr>
        <w:t xml:space="preserve">the interaction of the magnets with </w:t>
      </w:r>
      <w:r w:rsidR="009438DB">
        <w:rPr>
          <w:kern w:val="16"/>
        </w:rPr>
        <w:t>the stator coils</w:t>
      </w:r>
      <w:r w:rsidR="00FC2257" w:rsidRPr="00FC2257">
        <w:rPr>
          <w:kern w:val="16"/>
        </w:rPr>
        <w:t>.</w:t>
      </w:r>
      <w:r w:rsidR="00B4226B">
        <w:rPr>
          <w:kern w:val="16"/>
        </w:rPr>
        <w:t xml:space="preserve"> </w:t>
      </w:r>
      <w:r w:rsidR="009438DB">
        <w:rPr>
          <w:lang w:eastAsia="en-GB"/>
        </w:rPr>
        <w:t xml:space="preserve">This is a demanding application; the target </w:t>
      </w:r>
      <w:r w:rsidR="00F4253C">
        <w:rPr>
          <w:lang w:eastAsia="en-GB"/>
        </w:rPr>
        <w:t>must accelerate at ~90</w:t>
      </w:r>
      <w:r w:rsidR="009438DB">
        <w:rPr>
          <w:lang w:eastAsia="en-GB"/>
        </w:rPr>
        <w:t xml:space="preserve"> </w:t>
      </w:r>
      <w:r w:rsidR="009438DB">
        <w:rPr>
          <w:i/>
          <w:lang w:eastAsia="en-GB"/>
        </w:rPr>
        <w:t>g</w:t>
      </w:r>
      <w:r w:rsidR="009438DB">
        <w:rPr>
          <w:lang w:eastAsia="en-GB"/>
        </w:rPr>
        <w:t xml:space="preserve"> and the components of the target system must remain compatible with the ultra high vacuum of the ISIS system. </w:t>
      </w:r>
      <w:r w:rsidR="00B4226B">
        <w:rPr>
          <w:kern w:val="16"/>
        </w:rPr>
        <w:t>A sec</w:t>
      </w:r>
      <w:r w:rsidR="00F4253C">
        <w:rPr>
          <w:kern w:val="16"/>
        </w:rPr>
        <w:t>ond paper p</w:t>
      </w:r>
      <w:r w:rsidR="0072759E">
        <w:rPr>
          <w:kern w:val="16"/>
        </w:rPr>
        <w:t xml:space="preserve">resented at </w:t>
      </w:r>
      <w:r w:rsidR="00BA0E18">
        <w:rPr>
          <w:kern w:val="16"/>
        </w:rPr>
        <w:t xml:space="preserve">the </w:t>
      </w:r>
      <w:r w:rsidR="00F4253C">
        <w:rPr>
          <w:kern w:val="16"/>
        </w:rPr>
        <w:t>PAC10</w:t>
      </w:r>
      <w:r w:rsidR="00B4226B">
        <w:rPr>
          <w:kern w:val="16"/>
        </w:rPr>
        <w:t xml:space="preserve"> conference discusses the target hardware in more detail and so this wi</w:t>
      </w:r>
      <w:r w:rsidR="007F4FC7">
        <w:rPr>
          <w:kern w:val="16"/>
        </w:rPr>
        <w:t>ll not be repeated here</w:t>
      </w:r>
      <w:r w:rsidR="00A23008">
        <w:rPr>
          <w:kern w:val="16"/>
        </w:rPr>
        <w:t xml:space="preserve"> </w:t>
      </w:r>
      <w:r w:rsidR="00B4226B">
        <w:rPr>
          <w:kern w:val="16"/>
        </w:rPr>
        <w:t>[2].</w:t>
      </w:r>
    </w:p>
    <w:p w:rsidR="00B4226B" w:rsidRDefault="00F4253C" w:rsidP="00B4226B">
      <w:pPr>
        <w:pStyle w:val="Heading2"/>
      </w:pPr>
      <w:r>
        <w:t xml:space="preserve">Online </w:t>
      </w:r>
      <w:r w:rsidR="00B4226B">
        <w:t>Monitoring</w:t>
      </w:r>
    </w:p>
    <w:p w:rsidR="00DE3E04" w:rsidRDefault="00763391" w:rsidP="00DE3E04">
      <w:pPr>
        <w:ind w:firstLine="170"/>
      </w:pPr>
      <w:r>
        <w:t>K</w:t>
      </w:r>
      <w:r w:rsidR="00E44550">
        <w:t>ey parameters from the target system that are recorded by the target DAQ are; the target position, the ISIS beam intensity</w:t>
      </w:r>
      <w:r>
        <w:t xml:space="preserve"> together with</w:t>
      </w:r>
      <w:r w:rsidR="00253C59">
        <w:t xml:space="preserve"> several</w:t>
      </w:r>
      <w:r w:rsidR="00864545">
        <w:t xml:space="preserve"> ISIS</w:t>
      </w:r>
      <w:r w:rsidR="00E44550">
        <w:t xml:space="preserve"> </w:t>
      </w:r>
      <w:r w:rsidR="00253C59">
        <w:t>beam-loss signals.</w:t>
      </w:r>
      <w:r w:rsidR="00BB6D94">
        <w:t xml:space="preserve"> </w:t>
      </w:r>
      <w:r w:rsidR="004941D0">
        <w:t>This data can be selectively displaye</w:t>
      </w:r>
      <w:r w:rsidR="00690593">
        <w:t>d on a pulse by pulse basis</w:t>
      </w:r>
      <w:r w:rsidR="004941D0">
        <w:t xml:space="preserve"> using the EPICS based target DAQ.</w:t>
      </w:r>
      <w:r w:rsidR="0021593F" w:rsidRPr="0021593F">
        <w:t xml:space="preserve"> </w:t>
      </w:r>
      <w:r w:rsidR="0021593F">
        <w:t>The ISIS beam-loss signals are derived</w:t>
      </w:r>
      <w:r w:rsidR="0021593F" w:rsidRPr="00E44550">
        <w:t xml:space="preserve"> from a series of gas ionisation ch</w:t>
      </w:r>
      <w:r w:rsidR="0021593F">
        <w:t>ambers situated around ISIS. These signals represent</w:t>
      </w:r>
      <w:r w:rsidR="0021593F" w:rsidRPr="00E44550">
        <w:t xml:space="preserve"> </w:t>
      </w:r>
      <w:r w:rsidR="0021593F">
        <w:t xml:space="preserve">the rate of </w:t>
      </w:r>
      <w:r w:rsidR="0021593F" w:rsidRPr="00E44550">
        <w:t>proton loss from the synchrotron</w:t>
      </w:r>
      <w:r w:rsidR="0021593F">
        <w:t xml:space="preserve"> and are usually expressed in mV</w:t>
      </w:r>
      <w:r w:rsidR="0021593F" w:rsidRPr="00E44550">
        <w:t>.</w:t>
      </w:r>
    </w:p>
    <w:p w:rsidR="00A23008" w:rsidRDefault="00A23008" w:rsidP="00DE3E04">
      <w:pPr>
        <w:ind w:firstLine="170"/>
      </w:pPr>
    </w:p>
    <w:tbl>
      <w:tblPr>
        <w:tblW w:w="0" w:type="auto"/>
        <w:tblLook w:val="04A0"/>
      </w:tblPr>
      <w:tblGrid>
        <w:gridCol w:w="4891"/>
      </w:tblGrid>
      <w:tr w:rsidR="00DE3E04" w:rsidRPr="006A1F65" w:rsidTr="003115C3">
        <w:tc>
          <w:tcPr>
            <w:tcW w:w="4891" w:type="dxa"/>
          </w:tcPr>
          <w:p w:rsidR="00DE3E04" w:rsidRPr="006A1F65" w:rsidRDefault="00F4253C" w:rsidP="000F03B1">
            <w:pPr>
              <w:pStyle w:val="BodyTextIndent"/>
              <w:ind w:firstLine="0"/>
              <w:jc w:val="center"/>
              <w:rPr>
                <w:color w:val="FF0000"/>
              </w:rPr>
            </w:pPr>
            <w:r>
              <w:rPr>
                <w:noProof/>
                <w:color w:val="FF0000"/>
                <w:lang w:eastAsia="en-GB"/>
              </w:rPr>
              <w:drawing>
                <wp:inline distT="0" distB="0" distL="0" distR="0">
                  <wp:extent cx="2968625" cy="2126143"/>
                  <wp:effectExtent l="19050" t="0" r="3175" b="0"/>
                  <wp:docPr id="8" name="Picture 7" descr="DAQ-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Q-Capture.png"/>
                          <pic:cNvPicPr/>
                        </pic:nvPicPr>
                        <pic:blipFill>
                          <a:blip r:embed="rId8" cstate="print"/>
                          <a:srcRect t="3226" b="1613"/>
                          <a:stretch>
                            <a:fillRect/>
                          </a:stretch>
                        </pic:blipFill>
                        <pic:spPr>
                          <a:xfrm>
                            <a:off x="0" y="0"/>
                            <a:ext cx="2968625" cy="2126143"/>
                          </a:xfrm>
                          <a:prstGeom prst="rect">
                            <a:avLst/>
                          </a:prstGeom>
                        </pic:spPr>
                      </pic:pic>
                    </a:graphicData>
                  </a:graphic>
                </wp:inline>
              </w:drawing>
            </w:r>
          </w:p>
        </w:tc>
      </w:tr>
      <w:tr w:rsidR="00DE3E04" w:rsidRPr="006A1F65" w:rsidTr="003115C3">
        <w:tc>
          <w:tcPr>
            <w:tcW w:w="4891" w:type="dxa"/>
          </w:tcPr>
          <w:p w:rsidR="00DE3E04" w:rsidRPr="001F7227" w:rsidRDefault="00DE3E04" w:rsidP="00572F9B">
            <w:pPr>
              <w:pStyle w:val="Caption"/>
              <w:rPr>
                <w:kern w:val="16"/>
              </w:rPr>
            </w:pPr>
            <w:r w:rsidRPr="001F7227">
              <w:rPr>
                <w:kern w:val="16"/>
              </w:rPr>
              <w:t xml:space="preserve">Figure 1: </w:t>
            </w:r>
            <w:r w:rsidR="00572F9B">
              <w:rPr>
                <w:kern w:val="16"/>
              </w:rPr>
              <w:t>A screen captur</w:t>
            </w:r>
            <w:r w:rsidR="003B6ACC">
              <w:rPr>
                <w:kern w:val="16"/>
              </w:rPr>
              <w:t xml:space="preserve">e of the target DAQ showing </w:t>
            </w:r>
            <w:r w:rsidR="00572F9B">
              <w:rPr>
                <w:kern w:val="16"/>
              </w:rPr>
              <w:t>several useful</w:t>
            </w:r>
            <w:r w:rsidR="003B6ACC">
              <w:rPr>
                <w:kern w:val="16"/>
              </w:rPr>
              <w:t xml:space="preserve"> operational parameters simultaneously displayed</w:t>
            </w:r>
            <w:r w:rsidR="003115C3">
              <w:rPr>
                <w:kern w:val="16"/>
              </w:rPr>
              <w:t>.</w:t>
            </w:r>
            <w:r w:rsidR="00B64CCF">
              <w:rPr>
                <w:kern w:val="16"/>
              </w:rPr>
              <w:t xml:space="preserve"> </w:t>
            </w:r>
          </w:p>
        </w:tc>
      </w:tr>
    </w:tbl>
    <w:p w:rsidR="00A37BE0" w:rsidRDefault="00E44550" w:rsidP="00DF2624">
      <w:pPr>
        <w:ind w:firstLine="170"/>
      </w:pPr>
      <w:r>
        <w:t xml:space="preserve"> </w:t>
      </w:r>
      <w:r w:rsidR="009204E8">
        <w:t xml:space="preserve">Figure 1 shows a screen-shot from the target DAQ during target operation. It can be seen that as the target approaches its minimum position during the latter part of an ISIS spill, </w:t>
      </w:r>
      <w:r w:rsidR="00901779">
        <w:t xml:space="preserve">a </w:t>
      </w:r>
      <w:r w:rsidR="006570F4">
        <w:t xml:space="preserve">significant </w:t>
      </w:r>
      <w:r w:rsidR="00901779">
        <w:t xml:space="preserve">amount of </w:t>
      </w:r>
      <w:r w:rsidR="009204E8">
        <w:t>beam-loss is recorded in sector 7</w:t>
      </w:r>
      <w:r w:rsidR="00901779">
        <w:t>,</w:t>
      </w:r>
      <w:r w:rsidR="000D294D">
        <w:t xml:space="preserve"> immediately downstream</w:t>
      </w:r>
      <w:r w:rsidR="009204E8">
        <w:t xml:space="preserve"> from the target. This beam-loss </w:t>
      </w:r>
      <w:r w:rsidR="006570F4">
        <w:t xml:space="preserve">is directly attributable to the target and </w:t>
      </w:r>
      <w:r w:rsidR="009204E8">
        <w:t>can be tuned to some desired value by varying the target dip depth</w:t>
      </w:r>
      <w:r w:rsidR="003B6ACC">
        <w:t xml:space="preserve"> and to some extent the insertion time</w:t>
      </w:r>
      <w:r w:rsidR="009204E8">
        <w:t>.</w:t>
      </w:r>
      <w:r w:rsidR="00CC5DFA">
        <w:t xml:space="preserve"> Note also that the target is moving sufficiently rapidly </w:t>
      </w:r>
      <w:r w:rsidR="00901779">
        <w:t xml:space="preserve">so as </w:t>
      </w:r>
      <w:r w:rsidR="00CC5DFA">
        <w:t>to be out of the</w:t>
      </w:r>
      <w:r w:rsidR="006E37C8">
        <w:t xml:space="preserve"> beam by the time the next acceleration period arrives 10 milliseconds after extraction</w:t>
      </w:r>
      <w:r w:rsidR="00CC5DFA">
        <w:t>.</w:t>
      </w:r>
      <w:r w:rsidR="00DF2624">
        <w:t xml:space="preserve"> </w:t>
      </w:r>
    </w:p>
    <w:p w:rsidR="00A60568" w:rsidRDefault="00763391" w:rsidP="00A60568">
      <w:pPr>
        <w:pStyle w:val="Heading2"/>
      </w:pPr>
      <w:r>
        <w:lastRenderedPageBreak/>
        <w:t>Offline monitoring</w:t>
      </w:r>
    </w:p>
    <w:p w:rsidR="00B64CCF" w:rsidRDefault="00901779" w:rsidP="00901779">
      <w:pPr>
        <w:pStyle w:val="BodyTextIndent"/>
      </w:pPr>
      <w:r>
        <w:t xml:space="preserve">The data for each pulse is collected and reduced to a parameterised form during each MICE run where several key variables are derived from the individual pulse data. </w:t>
      </w:r>
      <w:r w:rsidR="00315D6D">
        <w:t>Using parameterised target data allows detailed examination of interesting target properties and can enable changes in the physical state of the mechanism to be monitored without direct inspection.</w:t>
      </w:r>
      <w:r w:rsidR="00CB076D">
        <w:t xml:space="preserve"> The target maximum depth is converted into a Beam C</w:t>
      </w:r>
      <w:r w:rsidR="00474A30">
        <w:t>entre Distance (BCD) measured with</w:t>
      </w:r>
      <w:r w:rsidR="0057211A">
        <w:t xml:space="preserve"> </w:t>
      </w:r>
      <w:r w:rsidR="00474A30">
        <w:t>respect</w:t>
      </w:r>
      <w:r w:rsidR="0057211A">
        <w:t xml:space="preserve"> </w:t>
      </w:r>
      <w:r w:rsidR="00474A30">
        <w:t>to</w:t>
      </w:r>
      <w:r w:rsidR="00CB076D">
        <w:t xml:space="preserve"> the nominal centre line of the ISIS beam pipe.</w:t>
      </w:r>
    </w:p>
    <w:tbl>
      <w:tblPr>
        <w:tblW w:w="0" w:type="auto"/>
        <w:tblLook w:val="04A0"/>
      </w:tblPr>
      <w:tblGrid>
        <w:gridCol w:w="4891"/>
      </w:tblGrid>
      <w:tr w:rsidR="00A23008" w:rsidRPr="006A1F65" w:rsidTr="00B64CCF">
        <w:tc>
          <w:tcPr>
            <w:tcW w:w="4891" w:type="dxa"/>
          </w:tcPr>
          <w:p w:rsidR="00A23008" w:rsidRPr="006A1F65" w:rsidRDefault="00315D6D" w:rsidP="000F03B1">
            <w:pPr>
              <w:pStyle w:val="BodyTextIndent"/>
              <w:ind w:firstLine="0"/>
              <w:jc w:val="center"/>
              <w:rPr>
                <w:color w:val="FF0000"/>
              </w:rPr>
            </w:pPr>
            <w:r>
              <w:rPr>
                <w:noProof/>
                <w:color w:val="FF0000"/>
                <w:lang w:eastAsia="en-GB"/>
              </w:rPr>
              <w:drawing>
                <wp:inline distT="0" distB="0" distL="0" distR="0">
                  <wp:extent cx="2952115" cy="2042056"/>
                  <wp:effectExtent l="19050" t="0" r="635" b="0"/>
                  <wp:docPr id="9" name="Picture 8" descr="BCD-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D-Plot.png"/>
                          <pic:cNvPicPr/>
                        </pic:nvPicPr>
                        <pic:blipFill>
                          <a:blip r:embed="rId9" cstate="print"/>
                          <a:srcRect t="4790" b="4106"/>
                          <a:stretch>
                            <a:fillRect/>
                          </a:stretch>
                        </pic:blipFill>
                        <pic:spPr>
                          <a:xfrm>
                            <a:off x="0" y="0"/>
                            <a:ext cx="2952115" cy="2042056"/>
                          </a:xfrm>
                          <a:prstGeom prst="rect">
                            <a:avLst/>
                          </a:prstGeom>
                        </pic:spPr>
                      </pic:pic>
                    </a:graphicData>
                  </a:graphic>
                </wp:inline>
              </w:drawing>
            </w:r>
          </w:p>
        </w:tc>
      </w:tr>
      <w:tr w:rsidR="00A23008" w:rsidRPr="006A1F65" w:rsidTr="00B64CCF">
        <w:tc>
          <w:tcPr>
            <w:tcW w:w="4891" w:type="dxa"/>
          </w:tcPr>
          <w:p w:rsidR="00A60568" w:rsidRPr="00B64CCF" w:rsidRDefault="00A23008" w:rsidP="00CB076D">
            <w:pPr>
              <w:pStyle w:val="Caption"/>
              <w:rPr>
                <w:kern w:val="16"/>
              </w:rPr>
            </w:pPr>
            <w:r>
              <w:rPr>
                <w:kern w:val="16"/>
              </w:rPr>
              <w:t>Figure 2</w:t>
            </w:r>
            <w:r w:rsidRPr="001F7227">
              <w:rPr>
                <w:kern w:val="16"/>
              </w:rPr>
              <w:t xml:space="preserve">: </w:t>
            </w:r>
            <w:r w:rsidR="004661E5">
              <w:rPr>
                <w:kern w:val="16"/>
              </w:rPr>
              <w:t xml:space="preserve"> </w:t>
            </w:r>
            <w:r w:rsidR="00CB076D">
              <w:rPr>
                <w:kern w:val="16"/>
              </w:rPr>
              <w:t>BCD as a function of time for a typical MICE shift in 2009</w:t>
            </w:r>
            <w:r w:rsidR="00B64CCF">
              <w:t>.</w:t>
            </w:r>
            <w:r w:rsidR="00474A30">
              <w:t xml:space="preserve"> Periods where the</w:t>
            </w:r>
            <w:r w:rsidR="00CB076D">
              <w:t xml:space="preserve"> target </w:t>
            </w:r>
            <w:r w:rsidR="00474A30">
              <w:t xml:space="preserve">BCD </w:t>
            </w:r>
            <w:r w:rsidR="00CB076D">
              <w:t>was adjusted can clearly be seen. Also visible is</w:t>
            </w:r>
            <w:r w:rsidR="00BC3B0A">
              <w:t xml:space="preserve"> the small (~0.6mm) variability in the target BCD from pulse to pulse.</w:t>
            </w:r>
          </w:p>
        </w:tc>
      </w:tr>
    </w:tbl>
    <w:p w:rsidR="00D16647" w:rsidRDefault="00CB076D" w:rsidP="007F4FC7">
      <w:pPr>
        <w:pStyle w:val="BodyTextIndent"/>
      </w:pPr>
      <w:r>
        <w:t xml:space="preserve">Figure 2 shows </w:t>
      </w:r>
      <w:r w:rsidR="00D16647">
        <w:t>a plot of the target minimum BCD over a typical MICE shift</w:t>
      </w:r>
      <w:r w:rsidR="00B64CCF" w:rsidRPr="00A60568">
        <w:t>.</w:t>
      </w:r>
      <w:r w:rsidR="00D16647">
        <w:t xml:space="preserve"> Analysis of these plots after a run gives useful information about the performance and stability of the target.</w:t>
      </w:r>
      <w:r w:rsidR="002D1C3E">
        <w:t xml:space="preserve"> Specifically it can </w:t>
      </w:r>
      <w:r w:rsidR="004C412A">
        <w:t>be seen that there is a</w:t>
      </w:r>
      <w:r w:rsidR="002D1C3E">
        <w:t xml:space="preserve"> spread </w:t>
      </w:r>
      <w:r w:rsidR="004C412A">
        <w:t>i</w:t>
      </w:r>
      <w:r w:rsidR="002D1C3E">
        <w:t xml:space="preserve">n the measured values </w:t>
      </w:r>
      <w:r w:rsidR="004C412A">
        <w:t xml:space="preserve">of ~0.6mm </w:t>
      </w:r>
      <w:r w:rsidR="002D1C3E">
        <w:t>for the minimum BCD</w:t>
      </w:r>
      <w:r w:rsidR="004C412A">
        <w:t>,</w:t>
      </w:r>
      <w:r w:rsidR="002D1C3E">
        <w:t xml:space="preserve"> an observation that is useful in monitoring the stability of the target.</w:t>
      </w:r>
    </w:p>
    <w:p w:rsidR="00D16647" w:rsidRDefault="00D16647" w:rsidP="007F4FC7">
      <w:pPr>
        <w:pStyle w:val="BodyTextIndent"/>
      </w:pPr>
    </w:p>
    <w:p w:rsidR="00D16647" w:rsidRDefault="00D16647" w:rsidP="00D16647">
      <w:pPr>
        <w:pStyle w:val="BodyTextIndent"/>
        <w:keepNext/>
      </w:pPr>
      <w:r>
        <w:rPr>
          <w:noProof/>
          <w:lang w:eastAsia="en-GB"/>
        </w:rPr>
        <w:drawing>
          <wp:inline distT="0" distB="0" distL="0" distR="0">
            <wp:extent cx="2952115" cy="2042056"/>
            <wp:effectExtent l="19050" t="0" r="635" b="0"/>
            <wp:docPr id="10" name="Picture 9" descr="Accleration-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leration-Plot.png"/>
                    <pic:cNvPicPr/>
                  </pic:nvPicPr>
                  <pic:blipFill>
                    <a:blip r:embed="rId10" cstate="print"/>
                    <a:srcRect t="4790" b="4106"/>
                    <a:stretch>
                      <a:fillRect/>
                    </a:stretch>
                  </pic:blipFill>
                  <pic:spPr>
                    <a:xfrm>
                      <a:off x="0" y="0"/>
                      <a:ext cx="2952115" cy="2042056"/>
                    </a:xfrm>
                    <a:prstGeom prst="rect">
                      <a:avLst/>
                    </a:prstGeom>
                  </pic:spPr>
                </pic:pic>
              </a:graphicData>
            </a:graphic>
          </wp:inline>
        </w:drawing>
      </w:r>
    </w:p>
    <w:p w:rsidR="00D16647" w:rsidRDefault="00D16647" w:rsidP="00D16647">
      <w:pPr>
        <w:pStyle w:val="Caption"/>
      </w:pPr>
      <w:r>
        <w:t xml:space="preserve">Figure </w:t>
      </w:r>
      <w:r w:rsidR="00572F9B">
        <w:t>3: The ma</w:t>
      </w:r>
      <w:r w:rsidR="00CB7351">
        <w:t>ximum acceleration</w:t>
      </w:r>
      <w:r w:rsidR="00572F9B">
        <w:t xml:space="preserve"> of the target over a typical </w:t>
      </w:r>
      <w:r w:rsidR="00CB7351">
        <w:t xml:space="preserve">MICE </w:t>
      </w:r>
      <w:r w:rsidR="00572F9B">
        <w:t>shift showing rapid decreases superimposed on a longer trend.</w:t>
      </w:r>
    </w:p>
    <w:p w:rsidR="00B64CCF" w:rsidRPr="00A60568" w:rsidRDefault="005620CA" w:rsidP="007F4FC7">
      <w:pPr>
        <w:pStyle w:val="BodyTextIndent"/>
      </w:pPr>
      <w:r>
        <w:lastRenderedPageBreak/>
        <w:t xml:space="preserve">Figure 3 shows a </w:t>
      </w:r>
      <w:r w:rsidR="004C412A">
        <w:t>plot of target acceleration against</w:t>
      </w:r>
      <w:r>
        <w:t xml:space="preserve"> time where the acceleration is measured over the initial part of </w:t>
      </w:r>
      <w:r w:rsidR="00BC2C84">
        <w:t>the actuation and</w:t>
      </w:r>
      <w:r>
        <w:t xml:space="preserve"> represents the maximum acceleration of the target. The rapid decreases in acceleration over </w:t>
      </w:r>
      <w:r w:rsidR="00A95DBA">
        <w:t xml:space="preserve">timescales of </w:t>
      </w:r>
      <w:r>
        <w:t xml:space="preserve">20-30s after </w:t>
      </w:r>
      <w:r w:rsidR="00A95DBA">
        <w:t xml:space="preserve">an initial </w:t>
      </w:r>
      <w:r>
        <w:t>start up are due to Ohmic heating of the coils increasing resistance and thus reducing maximum current. The longer time scale reduction is due to overall heating of the targ</w:t>
      </w:r>
      <w:r w:rsidR="00A95DBA">
        <w:t>et assembly and ceases when the stator and supporting elements reach</w:t>
      </w:r>
      <w:r w:rsidR="0091286E">
        <w:t xml:space="preserve"> thermal equilibrium with the surroundings. </w:t>
      </w:r>
    </w:p>
    <w:p w:rsidR="00A23008" w:rsidRDefault="00BC07D1" w:rsidP="007F4FC7">
      <w:pPr>
        <w:pStyle w:val="Heading2"/>
      </w:pPr>
      <w:r>
        <w:t>Target Stability</w:t>
      </w:r>
    </w:p>
    <w:p w:rsidR="0056437A" w:rsidRDefault="00BC07D1" w:rsidP="00FD111C">
      <w:pPr>
        <w:pStyle w:val="BodyTextIndent"/>
      </w:pPr>
      <w:r>
        <w:t>If the minimum BCD for a set of target pulses is examined where the target is pulsed at a fixed depth a clear pattern is visible. For targets where little wear is</w:t>
      </w:r>
      <w:r w:rsidR="0021593F">
        <w:t xml:space="preserve"> observed on the bearings the B</w:t>
      </w:r>
      <w:r>
        <w:t>C</w:t>
      </w:r>
      <w:r w:rsidR="0021593F">
        <w:t>D</w:t>
      </w:r>
      <w:r>
        <w:t xml:space="preserve"> distribution is quite narrow with a characteristic double peak structure</w:t>
      </w:r>
      <w:r w:rsidR="00CD2D09">
        <w:t>, see figure 4 below</w:t>
      </w:r>
      <w:r>
        <w:t>. For a target that showed high wear</w:t>
      </w:r>
      <w:r w:rsidR="00CD2D09">
        <w:t xml:space="preserve"> a much broader distribution is observed, see figure 5 below</w:t>
      </w:r>
      <w:r>
        <w:t>. Obviously this can be used as key dia</w:t>
      </w:r>
      <w:r w:rsidR="0056437A">
        <w:t>gnostic for spotting potential problems with a target.</w:t>
      </w:r>
    </w:p>
    <w:p w:rsidR="00FD111C" w:rsidRDefault="00FD111C" w:rsidP="00FD111C">
      <w:pPr>
        <w:pStyle w:val="BodyTextIndent"/>
      </w:pPr>
    </w:p>
    <w:p w:rsidR="000049C6" w:rsidRDefault="0056437A" w:rsidP="000049C6">
      <w:pPr>
        <w:pStyle w:val="BodyTextIndent"/>
        <w:keepNext/>
      </w:pPr>
      <w:r>
        <w:rPr>
          <w:noProof/>
          <w:lang w:eastAsia="en-GB"/>
        </w:rPr>
        <w:drawing>
          <wp:inline distT="0" distB="0" distL="0" distR="0">
            <wp:extent cx="2700000" cy="1847368"/>
            <wp:effectExtent l="19050" t="0" r="5100" b="0"/>
            <wp:docPr id="11" name="Picture 10" descr="Good-B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BCD.png"/>
                    <pic:cNvPicPr/>
                  </pic:nvPicPr>
                  <pic:blipFill>
                    <a:blip r:embed="rId11" cstate="print"/>
                    <a:stretch>
                      <a:fillRect/>
                    </a:stretch>
                  </pic:blipFill>
                  <pic:spPr>
                    <a:xfrm>
                      <a:off x="0" y="0"/>
                      <a:ext cx="2700000" cy="1847368"/>
                    </a:xfrm>
                    <a:prstGeom prst="rect">
                      <a:avLst/>
                    </a:prstGeom>
                  </pic:spPr>
                </pic:pic>
              </a:graphicData>
            </a:graphic>
          </wp:inline>
        </w:drawing>
      </w:r>
    </w:p>
    <w:p w:rsidR="00B4226B" w:rsidRDefault="000049C6" w:rsidP="00CD2D09">
      <w:pPr>
        <w:pStyle w:val="Caption"/>
      </w:pPr>
      <w:r>
        <w:t>Figure 4</w:t>
      </w:r>
      <w:r w:rsidR="00713774">
        <w:t xml:space="preserve">: A BCD histogram for a target that was operating well and showed little evidence of wear. </w:t>
      </w:r>
    </w:p>
    <w:p w:rsidR="00FD111C" w:rsidRDefault="00FD111C" w:rsidP="00B4226B">
      <w:pPr>
        <w:pStyle w:val="BodyTextIndent"/>
      </w:pPr>
    </w:p>
    <w:tbl>
      <w:tblPr>
        <w:tblW w:w="0" w:type="auto"/>
        <w:tblLook w:val="04A0"/>
      </w:tblPr>
      <w:tblGrid>
        <w:gridCol w:w="4891"/>
      </w:tblGrid>
      <w:tr w:rsidR="008F3918" w:rsidRPr="006A1F65" w:rsidTr="004661E5">
        <w:tc>
          <w:tcPr>
            <w:tcW w:w="4891" w:type="dxa"/>
          </w:tcPr>
          <w:p w:rsidR="000049C6" w:rsidRDefault="0056437A" w:rsidP="000049C6">
            <w:pPr>
              <w:pStyle w:val="BodyTextIndent"/>
              <w:keepNext/>
              <w:ind w:firstLine="0"/>
              <w:jc w:val="center"/>
            </w:pPr>
            <w:r>
              <w:rPr>
                <w:noProof/>
                <w:color w:val="FF0000"/>
                <w:lang w:eastAsia="en-GB"/>
              </w:rPr>
              <w:drawing>
                <wp:inline distT="0" distB="0" distL="0" distR="0">
                  <wp:extent cx="2700020" cy="1827649"/>
                  <wp:effectExtent l="19050" t="0" r="5080" b="0"/>
                  <wp:docPr id="12" name="Picture 11" descr="Bad-B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d-BCD.png"/>
                          <pic:cNvPicPr/>
                        </pic:nvPicPr>
                        <pic:blipFill>
                          <a:blip r:embed="rId12" cstate="print"/>
                          <a:srcRect/>
                          <a:stretch>
                            <a:fillRect/>
                          </a:stretch>
                        </pic:blipFill>
                        <pic:spPr>
                          <a:xfrm>
                            <a:off x="0" y="0"/>
                            <a:ext cx="2700020" cy="1827649"/>
                          </a:xfrm>
                          <a:prstGeom prst="rect">
                            <a:avLst/>
                          </a:prstGeom>
                        </pic:spPr>
                      </pic:pic>
                    </a:graphicData>
                  </a:graphic>
                </wp:inline>
              </w:drawing>
            </w:r>
          </w:p>
          <w:p w:rsidR="008F3918" w:rsidRPr="006A1F65" w:rsidRDefault="000049C6" w:rsidP="000049C6">
            <w:pPr>
              <w:pStyle w:val="Caption"/>
              <w:jc w:val="left"/>
              <w:rPr>
                <w:color w:val="FF0000"/>
              </w:rPr>
            </w:pPr>
            <w:r>
              <w:t>Figure 5</w:t>
            </w:r>
            <w:r w:rsidR="00A52CDB">
              <w:t>:</w:t>
            </w:r>
            <w:r w:rsidR="00CC5DFA">
              <w:t xml:space="preserve"> The BCD histogram</w:t>
            </w:r>
            <w:r w:rsidR="00713774">
              <w:t xml:space="preserve"> for a failing target that was pulsing erratically and showed clear evidence of wear.</w:t>
            </w:r>
          </w:p>
        </w:tc>
      </w:tr>
      <w:tr w:rsidR="008F3918" w:rsidRPr="006A1F65" w:rsidTr="004661E5">
        <w:tc>
          <w:tcPr>
            <w:tcW w:w="4891" w:type="dxa"/>
          </w:tcPr>
          <w:p w:rsidR="008F3918" w:rsidRPr="001F7227" w:rsidRDefault="008F3918" w:rsidP="000242AB">
            <w:pPr>
              <w:pStyle w:val="Caption"/>
              <w:rPr>
                <w:kern w:val="16"/>
              </w:rPr>
            </w:pPr>
          </w:p>
        </w:tc>
      </w:tr>
    </w:tbl>
    <w:p w:rsidR="00B4226B" w:rsidRPr="00B4226B" w:rsidRDefault="00BC07D1" w:rsidP="00A60568">
      <w:pPr>
        <w:pStyle w:val="Heading2"/>
      </w:pPr>
      <w:r>
        <w:lastRenderedPageBreak/>
        <w:t>Calibration plots</w:t>
      </w:r>
    </w:p>
    <w:p w:rsidR="00262E7F" w:rsidRDefault="00BC04F3" w:rsidP="00BC04F3">
      <w:pPr>
        <w:pStyle w:val="BodyTextIndent"/>
        <w:ind w:firstLine="0"/>
      </w:pPr>
      <w:r>
        <w:tab/>
      </w:r>
      <w:r w:rsidR="0057211A">
        <w:t>In order to attempt to identify potential wear on the bearing/shaft interface, periodic calibration pulses are taken. The target is pulsed at a fixed BCD for a set period of time and the resulting data compared with that of previous runs</w:t>
      </w:r>
      <w:r>
        <w:t xml:space="preserve"> (</w:t>
      </w:r>
      <w:r w:rsidR="00E94D48">
        <w:t>see figures 6</w:t>
      </w:r>
      <w:r>
        <w:t>, 7</w:t>
      </w:r>
      <w:r w:rsidR="00E94D48">
        <w:t xml:space="preserve"> and 8</w:t>
      </w:r>
      <w:r>
        <w:t xml:space="preserve"> below)</w:t>
      </w:r>
      <w:r w:rsidR="00062F38">
        <w:t>.</w:t>
      </w:r>
      <w:r w:rsidR="0057211A">
        <w:t xml:space="preserve"> Any substantial changes in these distributions ca</w:t>
      </w:r>
      <w:r>
        <w:t xml:space="preserve">n then be identified and </w:t>
      </w:r>
      <w:r w:rsidR="002B0A6A">
        <w:t xml:space="preserve">appropriate </w:t>
      </w:r>
      <w:r>
        <w:t xml:space="preserve">action </w:t>
      </w:r>
      <w:r w:rsidR="0057211A">
        <w:t>taken.</w:t>
      </w:r>
      <w:r w:rsidR="00062F38">
        <w:t xml:space="preserve"> </w:t>
      </w:r>
      <w:r w:rsidR="00572F9B">
        <w:rPr>
          <w:noProof/>
          <w:lang w:eastAsia="en-GB"/>
        </w:rPr>
        <w:drawing>
          <wp:inline distT="0" distB="0" distL="0" distR="0">
            <wp:extent cx="2968625" cy="1928877"/>
            <wp:effectExtent l="19050" t="0" r="3175" b="0"/>
            <wp:docPr id="14" name="Picture 13" descr="Calibration_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ibration_Plot.png"/>
                    <pic:cNvPicPr/>
                  </pic:nvPicPr>
                  <pic:blipFill>
                    <a:blip r:embed="rId13" cstate="print"/>
                    <a:srcRect t="8728" b="7273"/>
                    <a:stretch>
                      <a:fillRect/>
                    </a:stretch>
                  </pic:blipFill>
                  <pic:spPr>
                    <a:xfrm>
                      <a:off x="0" y="0"/>
                      <a:ext cx="2968625" cy="1928877"/>
                    </a:xfrm>
                    <a:prstGeom prst="rect">
                      <a:avLst/>
                    </a:prstGeom>
                  </pic:spPr>
                </pic:pic>
              </a:graphicData>
            </a:graphic>
          </wp:inline>
        </w:drawing>
      </w:r>
    </w:p>
    <w:p w:rsidR="00062F38" w:rsidRDefault="00262E7F" w:rsidP="00262E7F">
      <w:pPr>
        <w:pStyle w:val="Caption"/>
      </w:pPr>
      <w:r>
        <w:t xml:space="preserve">Figure </w:t>
      </w:r>
      <w:r w:rsidR="00501C50">
        <w:t>6</w:t>
      </w:r>
      <w:r w:rsidR="00C41714">
        <w:t>:</w:t>
      </w:r>
      <w:r>
        <w:t xml:space="preserve"> A BCD calibration plot fitted with a double Gaussian</w:t>
      </w:r>
      <w:r w:rsidR="00BC2C84">
        <w:t>.</w:t>
      </w:r>
    </w:p>
    <w:tbl>
      <w:tblPr>
        <w:tblW w:w="0" w:type="auto"/>
        <w:tblLook w:val="04A0"/>
      </w:tblPr>
      <w:tblGrid>
        <w:gridCol w:w="4891"/>
      </w:tblGrid>
      <w:tr w:rsidR="00B64CCF" w:rsidRPr="006A1F65" w:rsidTr="000F03B1">
        <w:tc>
          <w:tcPr>
            <w:tcW w:w="4891" w:type="dxa"/>
          </w:tcPr>
          <w:p w:rsidR="00262E7F" w:rsidRDefault="00572F9B" w:rsidP="00262E7F">
            <w:pPr>
              <w:pStyle w:val="BodyTextIndent"/>
              <w:keepNext/>
              <w:ind w:firstLine="0"/>
              <w:jc w:val="center"/>
            </w:pPr>
            <w:r>
              <w:rPr>
                <w:noProof/>
                <w:color w:val="FF0000"/>
                <w:lang w:eastAsia="en-GB"/>
              </w:rPr>
              <w:drawing>
                <wp:inline distT="0" distB="0" distL="0" distR="0">
                  <wp:extent cx="2968625" cy="1048613"/>
                  <wp:effectExtent l="19050" t="0" r="3175" b="0"/>
                  <wp:docPr id="15" name="Picture 14" descr="BCD-vs-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D-vs-Time.png"/>
                          <pic:cNvPicPr/>
                        </pic:nvPicPr>
                        <pic:blipFill>
                          <a:blip r:embed="rId14" cstate="print"/>
                          <a:srcRect t="1546" b="9276"/>
                          <a:stretch>
                            <a:fillRect/>
                          </a:stretch>
                        </pic:blipFill>
                        <pic:spPr>
                          <a:xfrm>
                            <a:off x="0" y="0"/>
                            <a:ext cx="2968625" cy="1048613"/>
                          </a:xfrm>
                          <a:prstGeom prst="rect">
                            <a:avLst/>
                          </a:prstGeom>
                        </pic:spPr>
                      </pic:pic>
                    </a:graphicData>
                  </a:graphic>
                </wp:inline>
              </w:drawing>
            </w:r>
          </w:p>
          <w:p w:rsidR="00B64CCF" w:rsidRPr="006A1F65" w:rsidRDefault="00262E7F" w:rsidP="00501C50">
            <w:pPr>
              <w:pStyle w:val="Caption"/>
              <w:jc w:val="left"/>
              <w:rPr>
                <w:color w:val="FF0000"/>
              </w:rPr>
            </w:pPr>
            <w:r>
              <w:t xml:space="preserve">Figure </w:t>
            </w:r>
            <w:r w:rsidR="00501C50">
              <w:t>7</w:t>
            </w:r>
            <w:r w:rsidR="00C41714">
              <w:t>: A BCD time series plot where all of the pulses fall within 0.6mm of the mean value.</w:t>
            </w:r>
          </w:p>
        </w:tc>
      </w:tr>
      <w:tr w:rsidR="00B64CCF" w:rsidRPr="006A1F65" w:rsidTr="000F03B1">
        <w:tc>
          <w:tcPr>
            <w:tcW w:w="4891" w:type="dxa"/>
          </w:tcPr>
          <w:p w:rsidR="00407276" w:rsidRDefault="00262E7F" w:rsidP="00407276">
            <w:pPr>
              <w:pStyle w:val="Caption"/>
              <w:keepNext/>
            </w:pPr>
            <w:r>
              <w:rPr>
                <w:noProof/>
                <w:kern w:val="16"/>
                <w:lang w:eastAsia="en-GB"/>
              </w:rPr>
              <w:drawing>
                <wp:inline distT="0" distB="0" distL="0" distR="0">
                  <wp:extent cx="2968625" cy="1993446"/>
                  <wp:effectExtent l="19050" t="0" r="3175" b="0"/>
                  <wp:docPr id="16" name="Picture 15" descr="Several_Calibration_Plo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ral_Calibration_Plots.png"/>
                          <pic:cNvPicPr/>
                        </pic:nvPicPr>
                        <pic:blipFill>
                          <a:blip r:embed="rId15" cstate="print"/>
                          <a:srcRect t="6511" b="5064"/>
                          <a:stretch>
                            <a:fillRect/>
                          </a:stretch>
                        </pic:blipFill>
                        <pic:spPr>
                          <a:xfrm>
                            <a:off x="0" y="0"/>
                            <a:ext cx="2968625" cy="1993446"/>
                          </a:xfrm>
                          <a:prstGeom prst="rect">
                            <a:avLst/>
                          </a:prstGeom>
                        </pic:spPr>
                      </pic:pic>
                    </a:graphicData>
                  </a:graphic>
                </wp:inline>
              </w:drawing>
            </w:r>
          </w:p>
          <w:p w:rsidR="00B64CCF" w:rsidRPr="00B64CCF" w:rsidRDefault="00407276" w:rsidP="00501C50">
            <w:pPr>
              <w:pStyle w:val="Caption"/>
              <w:rPr>
                <w:kern w:val="16"/>
              </w:rPr>
            </w:pPr>
            <w:r>
              <w:t xml:space="preserve">Figure </w:t>
            </w:r>
            <w:r w:rsidR="00501C50">
              <w:t>8</w:t>
            </w:r>
            <w:r w:rsidR="00901779">
              <w:t xml:space="preserve">: A set of BCD histograms from different runs </w:t>
            </w:r>
            <w:r w:rsidR="005C62DC">
              <w:t xml:space="preserve">taken over several months, </w:t>
            </w:r>
            <w:r w:rsidR="00901779">
              <w:t xml:space="preserve">normalised and </w:t>
            </w:r>
            <w:r w:rsidR="00704B81">
              <w:t>overlaid.</w:t>
            </w:r>
          </w:p>
        </w:tc>
      </w:tr>
    </w:tbl>
    <w:p w:rsidR="00B12360" w:rsidRDefault="00B12360" w:rsidP="00B12360">
      <w:pPr>
        <w:pStyle w:val="BodyTextIndent"/>
        <w:ind w:firstLine="170"/>
      </w:pPr>
      <w:r>
        <w:t>The use of these calibration plots has proved to be a useful tool in identifying potential problems. Note that for the normalisation process we simply subtract the mean value of the BCD distribution from each bin entry.</w:t>
      </w:r>
    </w:p>
    <w:p w:rsidR="00AB4F00" w:rsidRDefault="00AB4F00" w:rsidP="00AB4F00">
      <w:pPr>
        <w:pStyle w:val="Heading2"/>
      </w:pPr>
      <w:r>
        <w:lastRenderedPageBreak/>
        <w:t>PARASITIC OPERATION</w:t>
      </w:r>
    </w:p>
    <w:p w:rsidR="00AB4F00" w:rsidRDefault="00AB4F00" w:rsidP="00AB4F00">
      <w:pPr>
        <w:pStyle w:val="BodyTextIndent"/>
        <w:ind w:firstLine="170"/>
      </w:pPr>
      <w:r>
        <w:t>During operation t</w:t>
      </w:r>
      <w:r w:rsidRPr="00997DA9">
        <w:t>he target has been</w:t>
      </w:r>
      <w:r w:rsidRPr="001F1071">
        <w:t xml:space="preserve"> </w:t>
      </w:r>
      <w:r w:rsidRPr="00997DA9">
        <w:t>run at an insertion rate of ~0.5</w:t>
      </w:r>
      <w:r>
        <w:t xml:space="preserve"> </w:t>
      </w:r>
      <w:r w:rsidRPr="00997DA9">
        <w:t>Hz whi</w:t>
      </w:r>
      <w:r>
        <w:t>l</w:t>
      </w:r>
      <w:r w:rsidRPr="00997DA9">
        <w:t>st ISIS has been running from this frequency up to its norma</w:t>
      </w:r>
      <w:r>
        <w:t xml:space="preserve">l operating frequency of 50 Hz. Operation of the target with ISIS running at 50 Hz has successfully shown </w:t>
      </w:r>
      <w:r w:rsidRPr="00997DA9">
        <w:t>that the target can operate on ISIS</w:t>
      </w:r>
      <w:r>
        <w:t xml:space="preserve"> </w:t>
      </w:r>
      <w:r w:rsidRPr="00997DA9">
        <w:t>parasitically.</w:t>
      </w:r>
      <w:r>
        <w:t xml:space="preserve">  This was demonstrated by dipping the target at a progressively later time in the ISIS cycle until clipping of the next ISIS pulse at beam injection was observed.  For an actuation depth that initially provided 50 mV of beam-loss, there was a ~3 ms window between the optimum target insertion time and where injection losses on the next ISIS pulse were observed.</w:t>
      </w:r>
    </w:p>
    <w:p w:rsidR="00AB4F00" w:rsidRDefault="00AB4F00" w:rsidP="00AB4F00">
      <w:pPr>
        <w:pStyle w:val="BodyTextIndent"/>
        <w:ind w:firstLine="0"/>
      </w:pPr>
    </w:p>
    <w:p w:rsidR="00B64CCF" w:rsidRDefault="00B64CCF" w:rsidP="00B64CCF">
      <w:pPr>
        <w:pStyle w:val="Heading2"/>
      </w:pPr>
      <w:r>
        <w:t>correlation to the mice muon rate</w:t>
      </w:r>
    </w:p>
    <w:p w:rsidR="004661E5" w:rsidRDefault="00B64CCF" w:rsidP="00F723C3">
      <w:pPr>
        <w:pStyle w:val="BodyTextIndent"/>
      </w:pPr>
      <w:r>
        <w:t xml:space="preserve">Whilst most of the discussion so far has centred on the concept of </w:t>
      </w:r>
      <w:r w:rsidR="000242AB">
        <w:t>beam-loss</w:t>
      </w:r>
      <w:r>
        <w:t xml:space="preserve">, clearly what is important to MICE is </w:t>
      </w:r>
      <w:r w:rsidR="004661E5">
        <w:t>the expected muon rate in the MICE cooling channel. MICE is b</w:t>
      </w:r>
      <w:r w:rsidR="000242AB">
        <w:t>eing installed over six stages,</w:t>
      </w:r>
      <w:r w:rsidR="00F723C3">
        <w:t xml:space="preserve"> </w:t>
      </w:r>
      <w:r w:rsidR="004661E5">
        <w:t>the ultimate aim of a full emittance reduction measurement will not be possible until after all of the components have been installed in the final stage of construction.  At th</w:t>
      </w:r>
      <w:r w:rsidR="00704B81">
        <w:t>is point a rate of 600</w:t>
      </w:r>
      <w:r w:rsidR="004661E5">
        <w:t xml:space="preserve"> muons per spill will be required to make the required emittance measurements in a reasonable time frame.</w:t>
      </w:r>
    </w:p>
    <w:p w:rsidR="00B4226B" w:rsidRPr="00B4226B" w:rsidRDefault="003115C3" w:rsidP="00B64CCF">
      <w:pPr>
        <w:pStyle w:val="BodyTextIndent"/>
        <w:ind w:firstLine="170"/>
      </w:pPr>
      <w:r>
        <w:t xml:space="preserve">Simulations </w:t>
      </w:r>
      <w:r w:rsidR="00194FB8">
        <w:t>coupled with data obt</w:t>
      </w:r>
      <w:r w:rsidR="00CC0092">
        <w:t xml:space="preserve">ained from the detectors installed in </w:t>
      </w:r>
      <w:r w:rsidR="00833F9C">
        <w:t>the MICE beam</w:t>
      </w:r>
      <w:r w:rsidR="00F660D2">
        <w:t xml:space="preserve"> </w:t>
      </w:r>
      <w:r w:rsidR="00833F9C">
        <w:t>line indicate that</w:t>
      </w:r>
      <w:r w:rsidR="00CC0092">
        <w:t xml:space="preserve"> the </w:t>
      </w:r>
      <w:r w:rsidR="000242AB">
        <w:t>current muon rate is of</w:t>
      </w:r>
      <w:r w:rsidR="00194FB8">
        <w:t xml:space="preserve"> the or</w:t>
      </w:r>
      <w:r w:rsidR="000242AB">
        <w:t>der of a few muons</w:t>
      </w:r>
      <w:r w:rsidR="00CC0092">
        <w:t xml:space="preserve"> per spill</w:t>
      </w:r>
      <w:r w:rsidR="00F660D2">
        <w:t xml:space="preserve"> [3</w:t>
      </w:r>
      <w:r>
        <w:t>]</w:t>
      </w:r>
      <w:r w:rsidR="00CC0092">
        <w:t xml:space="preserve">. </w:t>
      </w:r>
      <w:r w:rsidR="003F089F" w:rsidRPr="003F089F">
        <w:t xml:space="preserve">The amount of </w:t>
      </w:r>
      <w:r w:rsidR="000242AB">
        <w:t>beam-loss</w:t>
      </w:r>
      <w:r w:rsidR="003F089F" w:rsidRPr="003F089F">
        <w:t xml:space="preserve"> produced by the MICE target has been </w:t>
      </w:r>
      <w:r w:rsidR="001E4443">
        <w:t xml:space="preserve">deliberately </w:t>
      </w:r>
      <w:r w:rsidR="003F089F" w:rsidRPr="003F089F">
        <w:t xml:space="preserve">limited </w:t>
      </w:r>
      <w:r w:rsidR="00F723C3">
        <w:t>so far until</w:t>
      </w:r>
      <w:r w:rsidR="001E4443">
        <w:t xml:space="preserve"> a full understanding of the likely activation </w:t>
      </w:r>
      <w:r w:rsidR="000242AB">
        <w:t>of</w:t>
      </w:r>
      <w:r w:rsidR="003F089F" w:rsidRPr="003F089F">
        <w:t xml:space="preserve"> the local environment</w:t>
      </w:r>
      <w:r w:rsidR="000242AB">
        <w:t xml:space="preserve"> and the disruption</w:t>
      </w:r>
      <w:r w:rsidR="001E4443">
        <w:t xml:space="preserve"> </w:t>
      </w:r>
      <w:r w:rsidR="000242AB">
        <w:t xml:space="preserve">of the </w:t>
      </w:r>
      <w:r w:rsidR="001E4443">
        <w:t xml:space="preserve">ISIS beam </w:t>
      </w:r>
      <w:r w:rsidR="003F089F" w:rsidRPr="003F089F">
        <w:t xml:space="preserve">is understood.  </w:t>
      </w:r>
      <w:r w:rsidR="001E4443">
        <w:t xml:space="preserve">It is clear that the </w:t>
      </w:r>
      <w:r w:rsidR="001E4443" w:rsidRPr="001E4443">
        <w:t xml:space="preserve">permitted </w:t>
      </w:r>
      <w:r w:rsidR="000242AB">
        <w:t>beam-loss</w:t>
      </w:r>
      <w:r w:rsidR="001E4443" w:rsidRPr="001E4443">
        <w:t xml:space="preserve"> cause</w:t>
      </w:r>
      <w:r w:rsidR="001E4443">
        <w:t xml:space="preserve">d by the target </w:t>
      </w:r>
      <w:r w:rsidR="001E4443" w:rsidRPr="001E4443">
        <w:t xml:space="preserve">will need to be </w:t>
      </w:r>
      <w:r w:rsidR="001E4443">
        <w:t xml:space="preserve">significantly </w:t>
      </w:r>
      <w:r w:rsidR="001E4443" w:rsidRPr="001E4443">
        <w:t xml:space="preserve">increased </w:t>
      </w:r>
      <w:r w:rsidR="001E4443">
        <w:t xml:space="preserve">in the future so that it is possible to </w:t>
      </w:r>
      <w:r w:rsidR="001E4443" w:rsidRPr="001E4443">
        <w:t xml:space="preserve">obtain the required </w:t>
      </w:r>
      <w:r w:rsidR="001E4443">
        <w:t xml:space="preserve">good </w:t>
      </w:r>
      <w:r w:rsidR="001E4443" w:rsidRPr="001E4443">
        <w:t>muon rate</w:t>
      </w:r>
      <w:r w:rsidR="001E4443">
        <w:t>s</w:t>
      </w:r>
      <w:r w:rsidR="001E4443" w:rsidRPr="001E4443">
        <w:t xml:space="preserve"> for MICE.</w:t>
      </w:r>
    </w:p>
    <w:p w:rsidR="009D1438" w:rsidRPr="00BE1BDC" w:rsidRDefault="009D1438" w:rsidP="00BA2D1B">
      <w:pPr>
        <w:pStyle w:val="Heading2"/>
      </w:pPr>
      <w:r w:rsidRPr="00BE1BDC">
        <w:t>References</w:t>
      </w:r>
    </w:p>
    <w:p w:rsidR="00AD4EE8" w:rsidRPr="00BE1BDC" w:rsidRDefault="009D1438" w:rsidP="00AD4EE8">
      <w:pPr>
        <w:pStyle w:val="ReferenceText"/>
        <w:rPr>
          <w:color w:val="auto"/>
        </w:rPr>
      </w:pPr>
      <w:r w:rsidRPr="00BE1BDC">
        <w:rPr>
          <w:color w:val="auto"/>
        </w:rPr>
        <w:t>[1]</w:t>
      </w:r>
      <w:r w:rsidR="00BC6C9C" w:rsidRPr="00BE1BDC">
        <w:rPr>
          <w:color w:val="auto"/>
        </w:rPr>
        <w:tab/>
      </w:r>
      <w:r w:rsidR="00910209" w:rsidRPr="00BE1BDC">
        <w:rPr>
          <w:color w:val="auto"/>
        </w:rPr>
        <w:t>MICE, an international Muon Ionisation Cooling Experiment: proposal to the Rutherford Appleton Laboratory, submitted to CCLRC and PPARC on the 10</w:t>
      </w:r>
      <w:r w:rsidR="00910209" w:rsidRPr="00BE1BDC">
        <w:rPr>
          <w:color w:val="auto"/>
          <w:vertAlign w:val="superscript"/>
        </w:rPr>
        <w:t>th</w:t>
      </w:r>
      <w:r w:rsidR="00910209" w:rsidRPr="00BE1BDC">
        <w:rPr>
          <w:color w:val="auto"/>
        </w:rPr>
        <w:t xml:space="preserve"> January 2003</w:t>
      </w:r>
      <w:r w:rsidR="00AD4EE8" w:rsidRPr="00BE1BDC">
        <w:rPr>
          <w:color w:val="auto"/>
        </w:rPr>
        <w:t>,</w:t>
      </w:r>
      <w:r w:rsidR="00AD4EE8" w:rsidRPr="00BE1BDC">
        <w:rPr>
          <w:color w:val="auto"/>
        </w:rPr>
        <w:tab/>
        <w:t>http://mice.iit.edu/micenotes/</w:t>
      </w:r>
    </w:p>
    <w:p w:rsidR="00E93B4A" w:rsidRPr="00BE1BDC" w:rsidRDefault="00AD4EE8" w:rsidP="00AD4EE8">
      <w:pPr>
        <w:pStyle w:val="ReferenceText"/>
        <w:rPr>
          <w:color w:val="auto"/>
        </w:rPr>
      </w:pPr>
      <w:r w:rsidRPr="00BE1BDC">
        <w:rPr>
          <w:color w:val="auto"/>
        </w:rPr>
        <w:tab/>
      </w:r>
      <w:r w:rsidR="00F94FDA" w:rsidRPr="00BE1BDC">
        <w:rPr>
          <w:color w:val="auto"/>
        </w:rPr>
        <w:t>pub</w:t>
      </w:r>
      <w:r w:rsidR="00363EEC" w:rsidRPr="00BE1BDC">
        <w:rPr>
          <w:color w:val="auto"/>
        </w:rPr>
        <w:t>lic/pdf/MICE0021/MICE0021.pdf</w:t>
      </w:r>
    </w:p>
    <w:p w:rsidR="00BE1BDC" w:rsidRPr="00AD7273" w:rsidRDefault="00BE1BDC" w:rsidP="00AD4EE8">
      <w:pPr>
        <w:pStyle w:val="ReferenceText"/>
        <w:rPr>
          <w:color w:val="auto"/>
        </w:rPr>
      </w:pPr>
      <w:r w:rsidRPr="00BE1BDC">
        <w:rPr>
          <w:color w:val="auto"/>
        </w:rPr>
        <w:t>[2]</w:t>
      </w:r>
      <w:r w:rsidRPr="00BE1BDC">
        <w:rPr>
          <w:color w:val="auto"/>
        </w:rPr>
        <w:tab/>
      </w:r>
      <w:r w:rsidR="00AD7273" w:rsidRPr="00AD7273">
        <w:rPr>
          <w:color w:val="auto"/>
          <w:szCs w:val="20"/>
        </w:rPr>
        <w:t>C.</w:t>
      </w:r>
      <w:r w:rsidR="00740FBA">
        <w:rPr>
          <w:color w:val="auto"/>
          <w:szCs w:val="20"/>
        </w:rPr>
        <w:t xml:space="preserve"> Booth, P. Hodgson</w:t>
      </w:r>
      <w:r w:rsidR="00AD7273" w:rsidRPr="00AD7273">
        <w:rPr>
          <w:color w:val="auto"/>
          <w:szCs w:val="20"/>
        </w:rPr>
        <w:t xml:space="preserve"> and P. J. Smith. MICE Target Hardware. Ma</w:t>
      </w:r>
      <w:r w:rsidR="00DA32E2">
        <w:rPr>
          <w:color w:val="auto"/>
          <w:szCs w:val="20"/>
        </w:rPr>
        <w:t>y 2010</w:t>
      </w:r>
      <w:r w:rsidR="0024287F">
        <w:rPr>
          <w:color w:val="auto"/>
          <w:szCs w:val="20"/>
        </w:rPr>
        <w:t>. To be published at IPAC10, Kyoto, Japan</w:t>
      </w:r>
      <w:r w:rsidR="00AD7273" w:rsidRPr="00AD7273">
        <w:rPr>
          <w:color w:val="auto"/>
          <w:szCs w:val="20"/>
        </w:rPr>
        <w:t>.</w:t>
      </w:r>
    </w:p>
    <w:p w:rsidR="003115C3" w:rsidRDefault="00DE3E04" w:rsidP="0024287F">
      <w:pPr>
        <w:pStyle w:val="ReferenceText"/>
        <w:rPr>
          <w:color w:val="auto"/>
          <w:szCs w:val="20"/>
        </w:rPr>
      </w:pPr>
      <w:r>
        <w:rPr>
          <w:color w:val="auto"/>
        </w:rPr>
        <w:t xml:space="preserve"> </w:t>
      </w:r>
      <w:r w:rsidR="00F660D2">
        <w:rPr>
          <w:color w:val="auto"/>
        </w:rPr>
        <w:t>[3</w:t>
      </w:r>
      <w:r w:rsidR="00F660D2" w:rsidRPr="00BE1BDC">
        <w:rPr>
          <w:color w:val="auto"/>
        </w:rPr>
        <w:t>]</w:t>
      </w:r>
      <w:r w:rsidR="00F660D2" w:rsidRPr="00BE1BDC">
        <w:rPr>
          <w:color w:val="auto"/>
        </w:rPr>
        <w:tab/>
      </w:r>
      <w:r w:rsidR="00F660D2">
        <w:rPr>
          <w:color w:val="auto"/>
          <w:szCs w:val="20"/>
        </w:rPr>
        <w:t>A</w:t>
      </w:r>
      <w:r w:rsidR="00F660D2" w:rsidRPr="00AD7273">
        <w:rPr>
          <w:color w:val="auto"/>
          <w:szCs w:val="20"/>
        </w:rPr>
        <w:t>.</w:t>
      </w:r>
      <w:r w:rsidR="00F660D2">
        <w:rPr>
          <w:color w:val="auto"/>
          <w:szCs w:val="20"/>
        </w:rPr>
        <w:t xml:space="preserve"> Dobbs, </w:t>
      </w:r>
      <w:r w:rsidR="00B12360">
        <w:rPr>
          <w:color w:val="auto"/>
          <w:szCs w:val="20"/>
        </w:rPr>
        <w:t>D. Adams, K. Long, J. Pasternak</w:t>
      </w:r>
      <w:r w:rsidR="00F660D2">
        <w:rPr>
          <w:color w:val="auto"/>
          <w:szCs w:val="20"/>
        </w:rPr>
        <w:t xml:space="preserve"> and M.</w:t>
      </w:r>
      <w:r w:rsidR="00B12360">
        <w:rPr>
          <w:color w:val="auto"/>
          <w:szCs w:val="20"/>
        </w:rPr>
        <w:t xml:space="preserve"> </w:t>
      </w:r>
      <w:r w:rsidR="00EB5F2B">
        <w:rPr>
          <w:color w:val="auto"/>
          <w:szCs w:val="20"/>
        </w:rPr>
        <w:t xml:space="preserve"> </w:t>
      </w:r>
      <w:r w:rsidR="00F660D2">
        <w:rPr>
          <w:color w:val="auto"/>
          <w:szCs w:val="20"/>
        </w:rPr>
        <w:t xml:space="preserve"> Apollonio</w:t>
      </w:r>
      <w:r w:rsidR="00F660D2" w:rsidRPr="00AD7273">
        <w:rPr>
          <w:color w:val="auto"/>
          <w:szCs w:val="20"/>
        </w:rPr>
        <w:t xml:space="preserve">. </w:t>
      </w:r>
      <w:r w:rsidR="00F660D2">
        <w:rPr>
          <w:color w:val="auto"/>
          <w:szCs w:val="20"/>
        </w:rPr>
        <w:t>The MICE Muon Beam: Status and Progress</w:t>
      </w:r>
      <w:r w:rsidR="00F660D2" w:rsidRPr="00AD7273">
        <w:rPr>
          <w:color w:val="auto"/>
          <w:szCs w:val="20"/>
        </w:rPr>
        <w:t>. Ma</w:t>
      </w:r>
      <w:r w:rsidR="00F660D2">
        <w:rPr>
          <w:color w:val="auto"/>
          <w:szCs w:val="20"/>
        </w:rPr>
        <w:t>y 2010. To be published at IPAC10, Kyoto, Japan</w:t>
      </w:r>
      <w:r w:rsidR="00F660D2" w:rsidRPr="00AD7273">
        <w:rPr>
          <w:color w:val="auto"/>
          <w:szCs w:val="20"/>
        </w:rPr>
        <w:t>.</w:t>
      </w:r>
    </w:p>
    <w:p w:rsidR="00BC5502" w:rsidRDefault="00BC5502" w:rsidP="0024287F">
      <w:pPr>
        <w:pStyle w:val="ReferenceText"/>
        <w:rPr>
          <w:color w:val="auto"/>
          <w:szCs w:val="20"/>
        </w:rPr>
      </w:pPr>
      <w:r>
        <w:rPr>
          <w:noProof/>
          <w:color w:val="auto"/>
          <w:szCs w:val="20"/>
          <w:lang w:val="en-GB" w:eastAsia="en-GB"/>
        </w:rPr>
        <w:pict>
          <v:shapetype id="_x0000_t202" coordsize="21600,21600" o:spt="202" path="m,l,21600r21600,l21600,xe">
            <v:stroke joinstyle="miter"/>
            <v:path gradientshapeok="t" o:connecttype="rect"/>
          </v:shapetype>
          <v:shape id="_x0000_s1029" type="#_x0000_t202" style="position:absolute;left:0;text-align:left;margin-left:-245pt;margin-top:761.4pt;width:230.4pt;height:37.35pt;z-index:251658240;mso-position-vertical-relative:page" o:allowoverlap="f" filled="f" stroked="f">
            <v:textbox style="mso-next-textbox:#_x0000_s1029" inset="0,0,0,0">
              <w:txbxContent>
                <w:p w:rsidR="00BC5502" w:rsidRDefault="00BC5502" w:rsidP="00BC5502">
                  <w:pPr>
                    <w:pStyle w:val="BodyTextIndent"/>
                    <w:tabs>
                      <w:tab w:val="left" w:leader="underscore" w:pos="1800"/>
                    </w:tabs>
                    <w:ind w:firstLine="0"/>
                    <w:rPr>
                      <w:kern w:val="16"/>
                      <w:sz w:val="8"/>
                    </w:rPr>
                  </w:pPr>
                  <w:r>
                    <w:rPr>
                      <w:kern w:val="16"/>
                      <w:sz w:val="8"/>
                    </w:rPr>
                    <w:tab/>
                  </w:r>
                </w:p>
                <w:p w:rsidR="00BC5502" w:rsidRPr="000E14C4" w:rsidRDefault="00BC5502" w:rsidP="00BC5502">
                  <w:pPr>
                    <w:pStyle w:val="HTMLPreformatted"/>
                    <w:rPr>
                      <w:rFonts w:ascii="Times New Roman" w:hAnsi="Times New Roman" w:cs="Times New Roman"/>
                      <w:sz w:val="16"/>
                      <w:szCs w:val="16"/>
                    </w:rPr>
                  </w:pPr>
                  <w:r w:rsidRPr="000E14C4">
                    <w:rPr>
                      <w:rFonts w:ascii="Times New Roman" w:hAnsi="Times New Roman" w:cs="Times New Roman"/>
                      <w:kern w:val="16"/>
                      <w:sz w:val="16"/>
                      <w:szCs w:val="16"/>
                    </w:rPr>
                    <w:t>*</w:t>
                  </w:r>
                  <w:r w:rsidRPr="000E14C4">
                    <w:rPr>
                      <w:rFonts w:ascii="Times New Roman" w:hAnsi="Times New Roman" w:cs="Times New Roman"/>
                      <w:sz w:val="16"/>
                      <w:szCs w:val="16"/>
                    </w:rPr>
                    <w:t xml:space="preserve">We wish to thank the </w:t>
                  </w:r>
                  <w:r>
                    <w:rPr>
                      <w:rFonts w:ascii="Times New Roman" w:hAnsi="Times New Roman" w:cs="Times New Roman"/>
                      <w:sz w:val="16"/>
                      <w:szCs w:val="16"/>
                    </w:rPr>
                    <w:t>MICE c</w:t>
                  </w:r>
                  <w:r w:rsidRPr="000E14C4">
                    <w:rPr>
                      <w:rFonts w:ascii="Times New Roman" w:hAnsi="Times New Roman" w:cs="Times New Roman"/>
                      <w:sz w:val="16"/>
                      <w:szCs w:val="16"/>
                    </w:rPr>
                    <w:t xml:space="preserve">ollaboration and the ISIS Division </w:t>
                  </w:r>
                  <w:r w:rsidR="00DC2A4F">
                    <w:rPr>
                      <w:rFonts w:ascii="Times New Roman" w:hAnsi="Times New Roman" w:cs="Times New Roman"/>
                      <w:sz w:val="16"/>
                      <w:szCs w:val="16"/>
                    </w:rPr>
                    <w:t>at the STFC Rutherford Appleton</w:t>
                  </w:r>
                  <w:r>
                    <w:rPr>
                      <w:rFonts w:ascii="Times New Roman" w:hAnsi="Times New Roman" w:cs="Times New Roman"/>
                      <w:sz w:val="16"/>
                      <w:szCs w:val="16"/>
                    </w:rPr>
                    <w:t xml:space="preserve"> </w:t>
                  </w:r>
                  <w:r w:rsidRPr="000E14C4">
                    <w:rPr>
                      <w:rFonts w:ascii="Times New Roman" w:hAnsi="Times New Roman" w:cs="Times New Roman"/>
                      <w:sz w:val="16"/>
                      <w:szCs w:val="16"/>
                    </w:rPr>
                    <w:t>Laboratory for the invaluable help and support</w:t>
                  </w:r>
                  <w:r>
                    <w:rPr>
                      <w:rFonts w:ascii="Times New Roman" w:hAnsi="Times New Roman" w:cs="Times New Roman"/>
                      <w:sz w:val="16"/>
                      <w:szCs w:val="16"/>
                    </w:rPr>
                    <w:t xml:space="preserve"> in the performance of this work</w:t>
                  </w:r>
                  <w:r w:rsidRPr="000E14C4">
                    <w:rPr>
                      <w:rFonts w:ascii="Times New Roman" w:hAnsi="Times New Roman" w:cs="Times New Roman"/>
                      <w:sz w:val="16"/>
                      <w:szCs w:val="16"/>
                    </w:rPr>
                    <w:t>.</w:t>
                  </w:r>
                </w:p>
                <w:p w:rsidR="00BC5502" w:rsidRPr="000E14C4" w:rsidRDefault="00BC5502" w:rsidP="00BC5502">
                  <w:pPr>
                    <w:pStyle w:val="FootnoteText"/>
                    <w:keepNext/>
                    <w:rPr>
                      <w:kern w:val="16"/>
                    </w:rPr>
                  </w:pPr>
                </w:p>
              </w:txbxContent>
            </v:textbox>
            <w10:wrap type="topAndBottom" anchory="page"/>
          </v:shape>
        </w:pict>
      </w:r>
    </w:p>
    <w:p w:rsidR="00BC5502" w:rsidRPr="0024287F" w:rsidRDefault="00BC5502" w:rsidP="0024287F">
      <w:pPr>
        <w:pStyle w:val="ReferenceText"/>
        <w:rPr>
          <w:color w:val="auto"/>
        </w:rPr>
      </w:pPr>
    </w:p>
    <w:sectPr w:rsidR="00BC5502" w:rsidRPr="0024287F" w:rsidSect="004E63E5">
      <w:footnotePr>
        <w:pos w:val="beneathText"/>
        <w:numFmt w:val="chicago"/>
      </w:footnotePr>
      <w:endnotePr>
        <w:numFmt w:val="decimal"/>
      </w:endnotePr>
      <w:type w:val="continuous"/>
      <w:pgSz w:w="11907" w:h="16840" w:code="9"/>
      <w:pgMar w:top="2098" w:right="1134" w:bottom="1077" w:left="1134" w:header="2098" w:footer="1077" w:gutter="0"/>
      <w:cols w:num="2" w:space="28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14F" w:rsidRDefault="001E214F"/>
  </w:endnote>
  <w:endnote w:type="continuationSeparator" w:id="0">
    <w:p w:rsidR="001E214F" w:rsidRDefault="001E214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14F" w:rsidRDefault="001E214F">
      <w:r>
        <w:separator/>
      </w:r>
    </w:p>
  </w:footnote>
  <w:footnote w:type="continuationSeparator" w:id="0">
    <w:p w:rsidR="001E214F" w:rsidRDefault="001E21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CEA7E36"/>
    <w:lvl w:ilvl="0">
      <w:start w:val="1"/>
      <w:numFmt w:val="decimal"/>
      <w:lvlText w:val="%1."/>
      <w:lvlJc w:val="left"/>
      <w:pPr>
        <w:tabs>
          <w:tab w:val="num" w:pos="1800"/>
        </w:tabs>
        <w:ind w:left="1800" w:hanging="360"/>
      </w:pPr>
    </w:lvl>
  </w:abstractNum>
  <w:abstractNum w:abstractNumId="1">
    <w:nsid w:val="FFFFFF7D"/>
    <w:multiLevelType w:val="singleLevel"/>
    <w:tmpl w:val="F6A4BABC"/>
    <w:lvl w:ilvl="0">
      <w:start w:val="1"/>
      <w:numFmt w:val="decimal"/>
      <w:lvlText w:val="%1."/>
      <w:lvlJc w:val="left"/>
      <w:pPr>
        <w:tabs>
          <w:tab w:val="num" w:pos="1440"/>
        </w:tabs>
        <w:ind w:left="1440" w:hanging="360"/>
      </w:pPr>
    </w:lvl>
  </w:abstractNum>
  <w:abstractNum w:abstractNumId="2">
    <w:nsid w:val="FFFFFF7E"/>
    <w:multiLevelType w:val="singleLevel"/>
    <w:tmpl w:val="8CBC7BE0"/>
    <w:lvl w:ilvl="0">
      <w:start w:val="1"/>
      <w:numFmt w:val="decimal"/>
      <w:lvlText w:val="%1."/>
      <w:lvlJc w:val="left"/>
      <w:pPr>
        <w:tabs>
          <w:tab w:val="num" w:pos="1080"/>
        </w:tabs>
        <w:ind w:left="1080" w:hanging="360"/>
      </w:pPr>
    </w:lvl>
  </w:abstractNum>
  <w:abstractNum w:abstractNumId="3">
    <w:nsid w:val="FFFFFF7F"/>
    <w:multiLevelType w:val="singleLevel"/>
    <w:tmpl w:val="80A22972"/>
    <w:lvl w:ilvl="0">
      <w:start w:val="1"/>
      <w:numFmt w:val="decimal"/>
      <w:lvlText w:val="%1."/>
      <w:lvlJc w:val="left"/>
      <w:pPr>
        <w:tabs>
          <w:tab w:val="num" w:pos="720"/>
        </w:tabs>
        <w:ind w:left="720" w:hanging="360"/>
      </w:pPr>
    </w:lvl>
  </w:abstractNum>
  <w:abstractNum w:abstractNumId="4">
    <w:nsid w:val="FFFFFF80"/>
    <w:multiLevelType w:val="singleLevel"/>
    <w:tmpl w:val="FF04F8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72C11E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8B0C4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EFA3D9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6894BC"/>
    <w:lvl w:ilvl="0">
      <w:start w:val="1"/>
      <w:numFmt w:val="decimal"/>
      <w:lvlText w:val="%1."/>
      <w:lvlJc w:val="left"/>
      <w:pPr>
        <w:tabs>
          <w:tab w:val="num" w:pos="360"/>
        </w:tabs>
        <w:ind w:left="360" w:hanging="360"/>
      </w:pPr>
    </w:lvl>
  </w:abstractNum>
  <w:abstractNum w:abstractNumId="9">
    <w:nsid w:val="FFFFFF89"/>
    <w:multiLevelType w:val="singleLevel"/>
    <w:tmpl w:val="06985E6A"/>
    <w:lvl w:ilvl="0">
      <w:start w:val="1"/>
      <w:numFmt w:val="bullet"/>
      <w:lvlText w:val=""/>
      <w:lvlJc w:val="left"/>
      <w:pPr>
        <w:tabs>
          <w:tab w:val="num" w:pos="360"/>
        </w:tabs>
        <w:ind w:left="360" w:hanging="360"/>
      </w:pPr>
      <w:rPr>
        <w:rFonts w:ascii="Symbol" w:hAnsi="Symbol" w:hint="default"/>
      </w:rPr>
    </w:lvl>
  </w:abstractNum>
  <w:abstractNum w:abstractNumId="10">
    <w:nsid w:val="045A12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1324CD7"/>
    <w:multiLevelType w:val="hybridMultilevel"/>
    <w:tmpl w:val="0C5A38BE"/>
    <w:lvl w:ilvl="0" w:tplc="6D8E591C">
      <w:start w:val="1"/>
      <w:numFmt w:val="bullet"/>
      <w:pStyle w:val="BulletedList"/>
      <w:lvlText w:val=""/>
      <w:lvlJc w:val="left"/>
      <w:pPr>
        <w:tabs>
          <w:tab w:val="num" w:pos="389"/>
        </w:tabs>
        <w:ind w:left="389" w:hanging="202"/>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13A4273E"/>
    <w:multiLevelType w:val="multilevel"/>
    <w:tmpl w:val="7CF66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A3E2E"/>
    <w:multiLevelType w:val="multilevel"/>
    <w:tmpl w:val="40C6752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C1427A8"/>
    <w:multiLevelType w:val="hybridMultilevel"/>
    <w:tmpl w:val="5B4AB5A0"/>
    <w:lvl w:ilvl="0" w:tplc="486243F0">
      <w:start w:val="1"/>
      <w:numFmt w:val="decimal"/>
      <w:lvlText w:val="%1"/>
      <w:lvlJc w:val="left"/>
      <w:pPr>
        <w:tabs>
          <w:tab w:val="num" w:pos="360"/>
        </w:tabs>
        <w:ind w:left="360" w:hanging="360"/>
      </w:pPr>
      <w:rPr>
        <w:rFonts w:ascii="Times" w:hAnsi="Times" w:hint="default"/>
        <w:b/>
        <w:i w:val="0"/>
        <w:sz w:val="24"/>
      </w:rPr>
    </w:lvl>
    <w:lvl w:ilvl="1" w:tplc="A5F893FC">
      <w:numFmt w:val="none"/>
      <w:lvlText w:val=""/>
      <w:lvlJc w:val="left"/>
      <w:pPr>
        <w:tabs>
          <w:tab w:val="num" w:pos="360"/>
        </w:tabs>
      </w:pPr>
    </w:lvl>
    <w:lvl w:ilvl="2" w:tplc="C7CA30A2">
      <w:numFmt w:val="none"/>
      <w:lvlText w:val=""/>
      <w:lvlJc w:val="left"/>
      <w:pPr>
        <w:tabs>
          <w:tab w:val="num" w:pos="360"/>
        </w:tabs>
      </w:pPr>
    </w:lvl>
    <w:lvl w:ilvl="3" w:tplc="0A7A31B4">
      <w:numFmt w:val="none"/>
      <w:lvlText w:val=""/>
      <w:lvlJc w:val="left"/>
      <w:pPr>
        <w:tabs>
          <w:tab w:val="num" w:pos="360"/>
        </w:tabs>
      </w:pPr>
    </w:lvl>
    <w:lvl w:ilvl="4" w:tplc="579C6E1A">
      <w:numFmt w:val="none"/>
      <w:lvlText w:val=""/>
      <w:lvlJc w:val="left"/>
      <w:pPr>
        <w:tabs>
          <w:tab w:val="num" w:pos="360"/>
        </w:tabs>
      </w:pPr>
    </w:lvl>
    <w:lvl w:ilvl="5" w:tplc="6F50E57E">
      <w:numFmt w:val="none"/>
      <w:lvlText w:val=""/>
      <w:lvlJc w:val="left"/>
      <w:pPr>
        <w:tabs>
          <w:tab w:val="num" w:pos="360"/>
        </w:tabs>
      </w:pPr>
    </w:lvl>
    <w:lvl w:ilvl="6" w:tplc="9B28C064">
      <w:numFmt w:val="none"/>
      <w:lvlText w:val=""/>
      <w:lvlJc w:val="left"/>
      <w:pPr>
        <w:tabs>
          <w:tab w:val="num" w:pos="360"/>
        </w:tabs>
      </w:pPr>
    </w:lvl>
    <w:lvl w:ilvl="7" w:tplc="30DA6F72">
      <w:numFmt w:val="none"/>
      <w:lvlText w:val=""/>
      <w:lvlJc w:val="left"/>
      <w:pPr>
        <w:tabs>
          <w:tab w:val="num" w:pos="360"/>
        </w:tabs>
      </w:pPr>
    </w:lvl>
    <w:lvl w:ilvl="8" w:tplc="F3709924">
      <w:numFmt w:val="none"/>
      <w:lvlText w:val=""/>
      <w:lvlJc w:val="left"/>
      <w:pPr>
        <w:tabs>
          <w:tab w:val="num" w:pos="360"/>
        </w:tabs>
      </w:p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001"/>
  <w:defaultTabStop w:val="170"/>
  <w:drawingGridHorizontalSpacing w:val="29"/>
  <w:drawingGridVerticalSpacing w:val="187"/>
  <w:displayHorizontalDrawingGridEvery w:val="2"/>
  <w:displayVerticalDrawingGridEvery w:val="2"/>
  <w:noPunctuationKerning/>
  <w:characterSpacingControl w:val="doNotCompress"/>
  <w:footnotePr>
    <w:pos w:val="beneathText"/>
    <w:numFmt w:val="chicago"/>
    <w:footnote w:id="-1"/>
    <w:footnote w:id="0"/>
  </w:footnotePr>
  <w:endnotePr>
    <w:numFmt w:val="decimal"/>
    <w:endnote w:id="-1"/>
    <w:endnote w:id="0"/>
  </w:endnotePr>
  <w:compat/>
  <w:rsids>
    <w:rsidRoot w:val="00B75D5E"/>
    <w:rsid w:val="000049C6"/>
    <w:rsid w:val="00015F38"/>
    <w:rsid w:val="000242AB"/>
    <w:rsid w:val="00031C49"/>
    <w:rsid w:val="000359DC"/>
    <w:rsid w:val="00037BB7"/>
    <w:rsid w:val="000510BE"/>
    <w:rsid w:val="00051C2A"/>
    <w:rsid w:val="00062F38"/>
    <w:rsid w:val="00065897"/>
    <w:rsid w:val="00072F58"/>
    <w:rsid w:val="0007678A"/>
    <w:rsid w:val="000A43F0"/>
    <w:rsid w:val="000B57AA"/>
    <w:rsid w:val="000D294D"/>
    <w:rsid w:val="000D3C4C"/>
    <w:rsid w:val="000E0A93"/>
    <w:rsid w:val="000E1BEA"/>
    <w:rsid w:val="000E28FD"/>
    <w:rsid w:val="000E57D6"/>
    <w:rsid w:val="000F03B1"/>
    <w:rsid w:val="000F5C04"/>
    <w:rsid w:val="00100A84"/>
    <w:rsid w:val="00114266"/>
    <w:rsid w:val="00134694"/>
    <w:rsid w:val="00156F46"/>
    <w:rsid w:val="00160DA3"/>
    <w:rsid w:val="001677AF"/>
    <w:rsid w:val="00173D37"/>
    <w:rsid w:val="0018663C"/>
    <w:rsid w:val="00194FB8"/>
    <w:rsid w:val="001B0B09"/>
    <w:rsid w:val="001B687F"/>
    <w:rsid w:val="001D5EF9"/>
    <w:rsid w:val="001D6284"/>
    <w:rsid w:val="001D751D"/>
    <w:rsid w:val="001E214F"/>
    <w:rsid w:val="001E4443"/>
    <w:rsid w:val="001E583E"/>
    <w:rsid w:val="001E6506"/>
    <w:rsid w:val="001F1071"/>
    <w:rsid w:val="001F3B2B"/>
    <w:rsid w:val="001F7227"/>
    <w:rsid w:val="0020718B"/>
    <w:rsid w:val="002141C3"/>
    <w:rsid w:val="0021593F"/>
    <w:rsid w:val="00227692"/>
    <w:rsid w:val="0024287F"/>
    <w:rsid w:val="00242DDC"/>
    <w:rsid w:val="00253C59"/>
    <w:rsid w:val="00262E7F"/>
    <w:rsid w:val="0026655F"/>
    <w:rsid w:val="00290EA4"/>
    <w:rsid w:val="002954FE"/>
    <w:rsid w:val="002B0A6A"/>
    <w:rsid w:val="002C147A"/>
    <w:rsid w:val="002C468A"/>
    <w:rsid w:val="002C6318"/>
    <w:rsid w:val="002D1C3E"/>
    <w:rsid w:val="002E4359"/>
    <w:rsid w:val="002F6A2B"/>
    <w:rsid w:val="003003BA"/>
    <w:rsid w:val="00306DBB"/>
    <w:rsid w:val="003115C3"/>
    <w:rsid w:val="00315024"/>
    <w:rsid w:val="00315D6D"/>
    <w:rsid w:val="00325421"/>
    <w:rsid w:val="00335292"/>
    <w:rsid w:val="00336B9A"/>
    <w:rsid w:val="003412C6"/>
    <w:rsid w:val="00362ED2"/>
    <w:rsid w:val="00363EEC"/>
    <w:rsid w:val="0037743E"/>
    <w:rsid w:val="0038084A"/>
    <w:rsid w:val="00383EE7"/>
    <w:rsid w:val="00394357"/>
    <w:rsid w:val="00394F4B"/>
    <w:rsid w:val="00396124"/>
    <w:rsid w:val="003A3D2E"/>
    <w:rsid w:val="003B6ACC"/>
    <w:rsid w:val="003C2B35"/>
    <w:rsid w:val="003C52DD"/>
    <w:rsid w:val="003D3984"/>
    <w:rsid w:val="003D4CAC"/>
    <w:rsid w:val="003F089F"/>
    <w:rsid w:val="003F3AE0"/>
    <w:rsid w:val="004015C9"/>
    <w:rsid w:val="00407276"/>
    <w:rsid w:val="00431064"/>
    <w:rsid w:val="004435C6"/>
    <w:rsid w:val="00444276"/>
    <w:rsid w:val="0046492A"/>
    <w:rsid w:val="00465E53"/>
    <w:rsid w:val="004661E5"/>
    <w:rsid w:val="00474A30"/>
    <w:rsid w:val="004920FB"/>
    <w:rsid w:val="004941D0"/>
    <w:rsid w:val="004979EA"/>
    <w:rsid w:val="004A1546"/>
    <w:rsid w:val="004A79C3"/>
    <w:rsid w:val="004B3453"/>
    <w:rsid w:val="004B4DEE"/>
    <w:rsid w:val="004C412A"/>
    <w:rsid w:val="004C685A"/>
    <w:rsid w:val="004D46D3"/>
    <w:rsid w:val="004E63E5"/>
    <w:rsid w:val="004F2A1D"/>
    <w:rsid w:val="00501C50"/>
    <w:rsid w:val="00504BF5"/>
    <w:rsid w:val="005132F6"/>
    <w:rsid w:val="00514AEC"/>
    <w:rsid w:val="005176A3"/>
    <w:rsid w:val="00522687"/>
    <w:rsid w:val="005322B2"/>
    <w:rsid w:val="00533E3D"/>
    <w:rsid w:val="005460B3"/>
    <w:rsid w:val="00547616"/>
    <w:rsid w:val="005478BB"/>
    <w:rsid w:val="00550307"/>
    <w:rsid w:val="005620CA"/>
    <w:rsid w:val="0056437A"/>
    <w:rsid w:val="0057211A"/>
    <w:rsid w:val="00572F9B"/>
    <w:rsid w:val="0057601B"/>
    <w:rsid w:val="00576258"/>
    <w:rsid w:val="005779BE"/>
    <w:rsid w:val="005909C8"/>
    <w:rsid w:val="005A1165"/>
    <w:rsid w:val="005A4B7E"/>
    <w:rsid w:val="005B5A12"/>
    <w:rsid w:val="005C4874"/>
    <w:rsid w:val="005C62DC"/>
    <w:rsid w:val="005C713D"/>
    <w:rsid w:val="005C7704"/>
    <w:rsid w:val="005E24F7"/>
    <w:rsid w:val="005E3DF1"/>
    <w:rsid w:val="005F0302"/>
    <w:rsid w:val="005F09A3"/>
    <w:rsid w:val="005F6709"/>
    <w:rsid w:val="00607F8B"/>
    <w:rsid w:val="00617C67"/>
    <w:rsid w:val="006433EB"/>
    <w:rsid w:val="00653AA2"/>
    <w:rsid w:val="006560C3"/>
    <w:rsid w:val="006570F4"/>
    <w:rsid w:val="00661393"/>
    <w:rsid w:val="00661FBC"/>
    <w:rsid w:val="006845B5"/>
    <w:rsid w:val="00690593"/>
    <w:rsid w:val="006979C3"/>
    <w:rsid w:val="006A1F65"/>
    <w:rsid w:val="006B2334"/>
    <w:rsid w:val="006C58CD"/>
    <w:rsid w:val="006D7751"/>
    <w:rsid w:val="006E37C8"/>
    <w:rsid w:val="006F69A8"/>
    <w:rsid w:val="00700598"/>
    <w:rsid w:val="00704B81"/>
    <w:rsid w:val="00713774"/>
    <w:rsid w:val="007147F1"/>
    <w:rsid w:val="0072759E"/>
    <w:rsid w:val="00732646"/>
    <w:rsid w:val="00740FBA"/>
    <w:rsid w:val="00761218"/>
    <w:rsid w:val="00762018"/>
    <w:rsid w:val="00763391"/>
    <w:rsid w:val="007739B8"/>
    <w:rsid w:val="00784600"/>
    <w:rsid w:val="007A252E"/>
    <w:rsid w:val="007B623F"/>
    <w:rsid w:val="007C67C6"/>
    <w:rsid w:val="007D0450"/>
    <w:rsid w:val="007D1D1F"/>
    <w:rsid w:val="007E51E7"/>
    <w:rsid w:val="007F4FC7"/>
    <w:rsid w:val="007F64AB"/>
    <w:rsid w:val="00801CB2"/>
    <w:rsid w:val="00833F9C"/>
    <w:rsid w:val="00841A60"/>
    <w:rsid w:val="00857A01"/>
    <w:rsid w:val="00864545"/>
    <w:rsid w:val="00872162"/>
    <w:rsid w:val="00881E91"/>
    <w:rsid w:val="00884E38"/>
    <w:rsid w:val="00893A43"/>
    <w:rsid w:val="008A01FD"/>
    <w:rsid w:val="008A1DE7"/>
    <w:rsid w:val="008B296B"/>
    <w:rsid w:val="008F3918"/>
    <w:rsid w:val="00901779"/>
    <w:rsid w:val="00910209"/>
    <w:rsid w:val="0091068C"/>
    <w:rsid w:val="0091286E"/>
    <w:rsid w:val="00914B13"/>
    <w:rsid w:val="009204E8"/>
    <w:rsid w:val="009223F4"/>
    <w:rsid w:val="009438DB"/>
    <w:rsid w:val="00944C8D"/>
    <w:rsid w:val="00973EE7"/>
    <w:rsid w:val="009828F3"/>
    <w:rsid w:val="009834F2"/>
    <w:rsid w:val="00992A0F"/>
    <w:rsid w:val="00997DA9"/>
    <w:rsid w:val="009A3440"/>
    <w:rsid w:val="009A58F9"/>
    <w:rsid w:val="009C5D88"/>
    <w:rsid w:val="009D1438"/>
    <w:rsid w:val="009D390C"/>
    <w:rsid w:val="009E1400"/>
    <w:rsid w:val="009E658D"/>
    <w:rsid w:val="009F4139"/>
    <w:rsid w:val="00A00C46"/>
    <w:rsid w:val="00A045D8"/>
    <w:rsid w:val="00A06B28"/>
    <w:rsid w:val="00A23008"/>
    <w:rsid w:val="00A3335E"/>
    <w:rsid w:val="00A37BE0"/>
    <w:rsid w:val="00A43239"/>
    <w:rsid w:val="00A44D07"/>
    <w:rsid w:val="00A45AC9"/>
    <w:rsid w:val="00A4727F"/>
    <w:rsid w:val="00A52CDB"/>
    <w:rsid w:val="00A60568"/>
    <w:rsid w:val="00A63929"/>
    <w:rsid w:val="00A9054F"/>
    <w:rsid w:val="00A920B8"/>
    <w:rsid w:val="00A9385E"/>
    <w:rsid w:val="00A95DBA"/>
    <w:rsid w:val="00AA0962"/>
    <w:rsid w:val="00AB1310"/>
    <w:rsid w:val="00AB4F00"/>
    <w:rsid w:val="00AC765C"/>
    <w:rsid w:val="00AC7A99"/>
    <w:rsid w:val="00AD4EE8"/>
    <w:rsid w:val="00AD7273"/>
    <w:rsid w:val="00B016E9"/>
    <w:rsid w:val="00B02EE6"/>
    <w:rsid w:val="00B03ACE"/>
    <w:rsid w:val="00B12360"/>
    <w:rsid w:val="00B12361"/>
    <w:rsid w:val="00B229FB"/>
    <w:rsid w:val="00B26147"/>
    <w:rsid w:val="00B4226B"/>
    <w:rsid w:val="00B61AC4"/>
    <w:rsid w:val="00B62990"/>
    <w:rsid w:val="00B643A3"/>
    <w:rsid w:val="00B64CCF"/>
    <w:rsid w:val="00B7242A"/>
    <w:rsid w:val="00B75D5E"/>
    <w:rsid w:val="00B8413C"/>
    <w:rsid w:val="00BA0E18"/>
    <w:rsid w:val="00BA2D1B"/>
    <w:rsid w:val="00BA4690"/>
    <w:rsid w:val="00BA67DC"/>
    <w:rsid w:val="00BA6CB7"/>
    <w:rsid w:val="00BB6D94"/>
    <w:rsid w:val="00BC04F3"/>
    <w:rsid w:val="00BC07D1"/>
    <w:rsid w:val="00BC2C84"/>
    <w:rsid w:val="00BC3AE6"/>
    <w:rsid w:val="00BC3B0A"/>
    <w:rsid w:val="00BC515F"/>
    <w:rsid w:val="00BC5502"/>
    <w:rsid w:val="00BC598D"/>
    <w:rsid w:val="00BC6C9C"/>
    <w:rsid w:val="00BD415F"/>
    <w:rsid w:val="00BE1BDC"/>
    <w:rsid w:val="00BE1C5D"/>
    <w:rsid w:val="00C13258"/>
    <w:rsid w:val="00C338AB"/>
    <w:rsid w:val="00C37212"/>
    <w:rsid w:val="00C41714"/>
    <w:rsid w:val="00C42D50"/>
    <w:rsid w:val="00C45BCF"/>
    <w:rsid w:val="00C46EDA"/>
    <w:rsid w:val="00C50881"/>
    <w:rsid w:val="00C66CD5"/>
    <w:rsid w:val="00C812DC"/>
    <w:rsid w:val="00C903E0"/>
    <w:rsid w:val="00CA0D00"/>
    <w:rsid w:val="00CB076D"/>
    <w:rsid w:val="00CB0E48"/>
    <w:rsid w:val="00CB2D62"/>
    <w:rsid w:val="00CB7351"/>
    <w:rsid w:val="00CC0092"/>
    <w:rsid w:val="00CC5DFA"/>
    <w:rsid w:val="00CD2D09"/>
    <w:rsid w:val="00CD70B1"/>
    <w:rsid w:val="00D16647"/>
    <w:rsid w:val="00D550FB"/>
    <w:rsid w:val="00D60D9B"/>
    <w:rsid w:val="00D64A5C"/>
    <w:rsid w:val="00D65D0D"/>
    <w:rsid w:val="00D7031A"/>
    <w:rsid w:val="00D878E4"/>
    <w:rsid w:val="00D96709"/>
    <w:rsid w:val="00DA32E2"/>
    <w:rsid w:val="00DB6614"/>
    <w:rsid w:val="00DB6DC2"/>
    <w:rsid w:val="00DC2A4F"/>
    <w:rsid w:val="00DD7C30"/>
    <w:rsid w:val="00DE3E04"/>
    <w:rsid w:val="00DE79DC"/>
    <w:rsid w:val="00DF14ED"/>
    <w:rsid w:val="00DF1513"/>
    <w:rsid w:val="00DF2624"/>
    <w:rsid w:val="00DF54AD"/>
    <w:rsid w:val="00E058B9"/>
    <w:rsid w:val="00E05F36"/>
    <w:rsid w:val="00E1279A"/>
    <w:rsid w:val="00E15AAB"/>
    <w:rsid w:val="00E21368"/>
    <w:rsid w:val="00E22D60"/>
    <w:rsid w:val="00E31E9D"/>
    <w:rsid w:val="00E44550"/>
    <w:rsid w:val="00E62CD8"/>
    <w:rsid w:val="00E8640A"/>
    <w:rsid w:val="00E903D3"/>
    <w:rsid w:val="00E93B4A"/>
    <w:rsid w:val="00E94D48"/>
    <w:rsid w:val="00E96A3B"/>
    <w:rsid w:val="00EB5F2B"/>
    <w:rsid w:val="00EC4C39"/>
    <w:rsid w:val="00EC523A"/>
    <w:rsid w:val="00EC6D87"/>
    <w:rsid w:val="00EC74E3"/>
    <w:rsid w:val="00ED7C80"/>
    <w:rsid w:val="00EE15E2"/>
    <w:rsid w:val="00EE6A46"/>
    <w:rsid w:val="00F4253C"/>
    <w:rsid w:val="00F470E4"/>
    <w:rsid w:val="00F4797F"/>
    <w:rsid w:val="00F5440D"/>
    <w:rsid w:val="00F60DCB"/>
    <w:rsid w:val="00F62E4D"/>
    <w:rsid w:val="00F65622"/>
    <w:rsid w:val="00F660D2"/>
    <w:rsid w:val="00F67ED4"/>
    <w:rsid w:val="00F723C3"/>
    <w:rsid w:val="00F80E5A"/>
    <w:rsid w:val="00F94FDA"/>
    <w:rsid w:val="00FA4B60"/>
    <w:rsid w:val="00FB437D"/>
    <w:rsid w:val="00FB671C"/>
    <w:rsid w:val="00FC0C6B"/>
    <w:rsid w:val="00FC1D77"/>
    <w:rsid w:val="00FC2257"/>
    <w:rsid w:val="00FD111C"/>
    <w:rsid w:val="00FE4F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5C6"/>
    <w:pPr>
      <w:jc w:val="both"/>
    </w:pPr>
    <w:rPr>
      <w:rFonts w:ascii="Times" w:hAnsi="Times"/>
      <w:szCs w:val="24"/>
      <w:lang w:eastAsia="en-US"/>
    </w:rPr>
  </w:style>
  <w:style w:type="paragraph" w:styleId="Heading1">
    <w:name w:val="heading 1"/>
    <w:aliases w:val="Paper Title"/>
    <w:next w:val="AuthorList"/>
    <w:qFormat/>
    <w:rsid w:val="006C58CD"/>
    <w:pPr>
      <w:keepNext/>
      <w:spacing w:after="60"/>
      <w:jc w:val="center"/>
      <w:outlineLvl w:val="0"/>
    </w:pPr>
    <w:rPr>
      <w:rFonts w:cs="Arial"/>
      <w:b/>
      <w:bCs/>
      <w:caps/>
      <w:kern w:val="32"/>
      <w:sz w:val="28"/>
      <w:szCs w:val="32"/>
      <w:lang w:eastAsia="en-US"/>
    </w:rPr>
  </w:style>
  <w:style w:type="paragraph" w:styleId="Heading2">
    <w:name w:val="heading 2"/>
    <w:aliases w:val="Section Heading"/>
    <w:next w:val="BodyTextIndent"/>
    <w:qFormat/>
    <w:rsid w:val="006C58CD"/>
    <w:pPr>
      <w:keepNext/>
      <w:spacing w:before="240" w:after="60"/>
      <w:jc w:val="center"/>
      <w:outlineLvl w:val="1"/>
    </w:pPr>
    <w:rPr>
      <w:rFonts w:cs="Arial"/>
      <w:b/>
      <w:bCs/>
      <w:iCs/>
      <w:caps/>
      <w:kern w:val="16"/>
      <w:sz w:val="24"/>
      <w:szCs w:val="28"/>
      <w:lang w:eastAsia="en-US"/>
    </w:rPr>
  </w:style>
  <w:style w:type="paragraph" w:styleId="Heading3">
    <w:name w:val="heading 3"/>
    <w:aliases w:val="Subsection Heading"/>
    <w:next w:val="BodyTextIndent"/>
    <w:qFormat/>
    <w:rsid w:val="006C58CD"/>
    <w:pPr>
      <w:keepNext/>
      <w:spacing w:before="120" w:after="60"/>
      <w:outlineLvl w:val="2"/>
    </w:pPr>
    <w:rPr>
      <w:rFonts w:cs="Arial"/>
      <w:bCs/>
      <w:i/>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link w:val="FootnoteTextChar"/>
    <w:rsid w:val="006C58CD"/>
    <w:rPr>
      <w:sz w:val="16"/>
      <w:lang w:eastAsia="en-US"/>
    </w:rPr>
  </w:style>
  <w:style w:type="paragraph" w:customStyle="1" w:styleId="AbstractTitle">
    <w:name w:val="Abstract Title"/>
    <w:next w:val="BodyTextIndent"/>
    <w:rsid w:val="002C6318"/>
    <w:rPr>
      <w:i/>
      <w:sz w:val="24"/>
      <w:szCs w:val="24"/>
      <w:lang w:eastAsia="en-US"/>
    </w:rPr>
  </w:style>
  <w:style w:type="paragraph" w:customStyle="1" w:styleId="AuthorList">
    <w:name w:val="Author List"/>
    <w:next w:val="AbstractTitle"/>
    <w:autoRedefine/>
    <w:rsid w:val="004920FB"/>
    <w:pPr>
      <w:spacing w:before="180" w:after="240"/>
      <w:jc w:val="center"/>
    </w:pPr>
    <w:rPr>
      <w:kern w:val="16"/>
      <w:lang w:eastAsia="en-US"/>
    </w:rPr>
  </w:style>
  <w:style w:type="paragraph" w:customStyle="1" w:styleId="FigureCaption">
    <w:name w:val="Figure Caption"/>
    <w:next w:val="BodyTextIndent"/>
    <w:rsid w:val="002C6318"/>
    <w:pPr>
      <w:spacing w:before="60" w:after="120"/>
      <w:jc w:val="center"/>
    </w:pPr>
    <w:rPr>
      <w:szCs w:val="24"/>
      <w:lang w:eastAsia="en-US"/>
    </w:rPr>
  </w:style>
  <w:style w:type="paragraph" w:customStyle="1" w:styleId="TableCaption">
    <w:name w:val="Table Caption"/>
    <w:next w:val="BodyTextIndent"/>
    <w:rsid w:val="006C58CD"/>
    <w:pPr>
      <w:spacing w:before="60" w:after="60"/>
      <w:jc w:val="center"/>
    </w:pPr>
    <w:rPr>
      <w:szCs w:val="24"/>
      <w:lang w:eastAsia="en-US"/>
    </w:rPr>
  </w:style>
  <w:style w:type="character" w:styleId="FootnoteReference">
    <w:name w:val="footnote reference"/>
    <w:basedOn w:val="DefaultParagraphFont"/>
    <w:rsid w:val="006C58CD"/>
    <w:rPr>
      <w:rFonts w:ascii="Times New Roman" w:hAnsi="Times New Roman"/>
      <w:sz w:val="20"/>
      <w:vertAlign w:val="superscript"/>
    </w:rPr>
  </w:style>
  <w:style w:type="paragraph" w:customStyle="1" w:styleId="Equation">
    <w:name w:val="Equation"/>
    <w:basedOn w:val="BodyTextNoIndent"/>
    <w:next w:val="BodyTextNoIndent"/>
    <w:autoRedefine/>
    <w:rsid w:val="00DE79DC"/>
    <w:pPr>
      <w:spacing w:before="240" w:after="240"/>
      <w:jc w:val="right"/>
    </w:pPr>
    <w:rPr>
      <w:kern w:val="16"/>
    </w:rPr>
  </w:style>
  <w:style w:type="paragraph" w:customStyle="1" w:styleId="ReferenceText">
    <w:name w:val="Reference Text"/>
    <w:basedOn w:val="Normal"/>
    <w:link w:val="ReferenceTextChar"/>
    <w:autoRedefine/>
    <w:rsid w:val="00336B9A"/>
    <w:pPr>
      <w:tabs>
        <w:tab w:val="left" w:pos="360"/>
      </w:tabs>
      <w:ind w:left="360" w:hanging="360"/>
    </w:pPr>
    <w:rPr>
      <w:rFonts w:ascii="Times New Roman" w:hAnsi="Times New Roman"/>
      <w:color w:val="4F81BD"/>
      <w:lang w:val="en-US"/>
    </w:rPr>
  </w:style>
  <w:style w:type="paragraph" w:styleId="BodyTextIndent">
    <w:name w:val="Body Text Indent"/>
    <w:link w:val="BodyTextIndentChar"/>
    <w:rsid w:val="002C6318"/>
    <w:pPr>
      <w:ind w:firstLine="187"/>
      <w:jc w:val="both"/>
    </w:pPr>
    <w:rPr>
      <w:lang w:eastAsia="en-US"/>
    </w:rPr>
  </w:style>
  <w:style w:type="character" w:styleId="Hyperlink">
    <w:name w:val="Hyperlink"/>
    <w:basedOn w:val="DefaultParagraphFont"/>
    <w:rsid w:val="004435C6"/>
    <w:rPr>
      <w:color w:val="0000FF"/>
      <w:u w:val="single"/>
    </w:rPr>
  </w:style>
  <w:style w:type="paragraph" w:customStyle="1" w:styleId="BulletedList">
    <w:name w:val="Bulleted List"/>
    <w:rsid w:val="003C52DD"/>
    <w:pPr>
      <w:numPr>
        <w:numId w:val="2"/>
      </w:numPr>
      <w:jc w:val="both"/>
    </w:pPr>
    <w:rPr>
      <w:szCs w:val="24"/>
      <w:lang w:eastAsia="en-US"/>
    </w:rPr>
  </w:style>
  <w:style w:type="character" w:customStyle="1" w:styleId="ReferenceTextChar">
    <w:name w:val="Reference Text Char"/>
    <w:basedOn w:val="DefaultParagraphFont"/>
    <w:link w:val="ReferenceText"/>
    <w:rsid w:val="00336B9A"/>
    <w:rPr>
      <w:color w:val="4F81BD"/>
      <w:szCs w:val="24"/>
      <w:lang w:val="en-US" w:eastAsia="en-US"/>
    </w:rPr>
  </w:style>
  <w:style w:type="paragraph" w:styleId="Title">
    <w:name w:val="Title"/>
    <w:basedOn w:val="Normal"/>
    <w:qFormat/>
    <w:rsid w:val="005E3DF1"/>
    <w:pPr>
      <w:jc w:val="center"/>
    </w:pPr>
    <w:rPr>
      <w:rFonts w:ascii="Arial" w:hAnsi="Arial" w:cs="Arial"/>
      <w:b/>
      <w:bCs/>
      <w:sz w:val="40"/>
    </w:rPr>
  </w:style>
  <w:style w:type="paragraph" w:styleId="Caption">
    <w:name w:val="caption"/>
    <w:basedOn w:val="Normal"/>
    <w:next w:val="Normal"/>
    <w:qFormat/>
    <w:rsid w:val="004435C6"/>
    <w:pPr>
      <w:spacing w:before="120" w:after="120"/>
    </w:pPr>
    <w:rPr>
      <w:b/>
      <w:bCs/>
      <w:szCs w:val="20"/>
    </w:rPr>
  </w:style>
  <w:style w:type="paragraph" w:customStyle="1" w:styleId="BodyTextNoIndent">
    <w:name w:val="Body Text No Indent"/>
    <w:basedOn w:val="BodyTextIndent"/>
    <w:rsid w:val="002C6318"/>
    <w:pPr>
      <w:ind w:firstLine="0"/>
    </w:pPr>
  </w:style>
  <w:style w:type="paragraph" w:customStyle="1" w:styleId="FigureCaptionMultiLine">
    <w:name w:val="Figure Caption Multi Line"/>
    <w:basedOn w:val="FigureCaption"/>
    <w:next w:val="BodyTextIndent"/>
    <w:rsid w:val="006C58CD"/>
    <w:pPr>
      <w:jc w:val="both"/>
    </w:pPr>
    <w:rPr>
      <w:szCs w:val="20"/>
    </w:rPr>
  </w:style>
  <w:style w:type="paragraph" w:customStyle="1" w:styleId="TableCaptionMultiLine">
    <w:name w:val="Table Caption Multi Line"/>
    <w:basedOn w:val="TableCaption"/>
    <w:next w:val="BodyTextIndent"/>
    <w:rsid w:val="006C58CD"/>
    <w:pPr>
      <w:jc w:val="both"/>
    </w:pPr>
    <w:rPr>
      <w:szCs w:val="20"/>
    </w:rPr>
  </w:style>
  <w:style w:type="table" w:styleId="TableGrid">
    <w:name w:val="Table Grid"/>
    <w:basedOn w:val="TableNormal"/>
    <w:uiPriority w:val="59"/>
    <w:rsid w:val="007B623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784600"/>
    <w:rPr>
      <w:rFonts w:ascii="Tahoma" w:hAnsi="Tahoma" w:cs="Tahoma"/>
      <w:sz w:val="16"/>
      <w:szCs w:val="16"/>
    </w:rPr>
  </w:style>
  <w:style w:type="character" w:customStyle="1" w:styleId="DocumentMapChar">
    <w:name w:val="Document Map Char"/>
    <w:basedOn w:val="DefaultParagraphFont"/>
    <w:link w:val="DocumentMap"/>
    <w:uiPriority w:val="99"/>
    <w:semiHidden/>
    <w:rsid w:val="00784600"/>
    <w:rPr>
      <w:rFonts w:ascii="Tahoma" w:hAnsi="Tahoma" w:cs="Tahoma"/>
      <w:sz w:val="16"/>
      <w:szCs w:val="16"/>
      <w:lang w:eastAsia="en-US"/>
    </w:rPr>
  </w:style>
  <w:style w:type="paragraph" w:styleId="BalloonText">
    <w:name w:val="Balloon Text"/>
    <w:basedOn w:val="Normal"/>
    <w:link w:val="BalloonTextChar"/>
    <w:uiPriority w:val="99"/>
    <w:semiHidden/>
    <w:unhideWhenUsed/>
    <w:rsid w:val="006A1F65"/>
    <w:rPr>
      <w:rFonts w:ascii="Tahoma" w:hAnsi="Tahoma" w:cs="Tahoma"/>
      <w:sz w:val="16"/>
      <w:szCs w:val="16"/>
    </w:rPr>
  </w:style>
  <w:style w:type="character" w:customStyle="1" w:styleId="BalloonTextChar">
    <w:name w:val="Balloon Text Char"/>
    <w:basedOn w:val="DefaultParagraphFont"/>
    <w:link w:val="BalloonText"/>
    <w:uiPriority w:val="99"/>
    <w:semiHidden/>
    <w:rsid w:val="006A1F65"/>
    <w:rPr>
      <w:rFonts w:ascii="Tahoma" w:hAnsi="Tahoma" w:cs="Tahoma"/>
      <w:sz w:val="16"/>
      <w:szCs w:val="16"/>
      <w:lang w:eastAsia="en-US"/>
    </w:rPr>
  </w:style>
  <w:style w:type="character" w:customStyle="1" w:styleId="BodyTextIndentChar">
    <w:name w:val="Body Text Indent Char"/>
    <w:basedOn w:val="DefaultParagraphFont"/>
    <w:link w:val="BodyTextIndent"/>
    <w:rsid w:val="00914B13"/>
    <w:rPr>
      <w:lang w:val="en-GB" w:eastAsia="en-US" w:bidi="ar-SA"/>
    </w:rPr>
  </w:style>
  <w:style w:type="paragraph" w:styleId="NormalWeb">
    <w:name w:val="Normal (Web)"/>
    <w:basedOn w:val="Normal"/>
    <w:uiPriority w:val="99"/>
    <w:semiHidden/>
    <w:unhideWhenUsed/>
    <w:rsid w:val="0018663C"/>
    <w:pPr>
      <w:spacing w:before="100" w:beforeAutospacing="1" w:after="100" w:afterAutospacing="1"/>
      <w:jc w:val="left"/>
    </w:pPr>
    <w:rPr>
      <w:rFonts w:ascii="Times New Roman" w:hAnsi="Times New Roman"/>
      <w:sz w:val="24"/>
      <w:lang w:eastAsia="en-GB"/>
    </w:rPr>
  </w:style>
  <w:style w:type="paragraph" w:styleId="NoSpacing">
    <w:name w:val="No Spacing"/>
    <w:uiPriority w:val="1"/>
    <w:qFormat/>
    <w:rsid w:val="00E44550"/>
    <w:pPr>
      <w:jc w:val="both"/>
    </w:pPr>
    <w:rPr>
      <w:rFonts w:ascii="Times" w:hAnsi="Times"/>
      <w:szCs w:val="24"/>
      <w:lang w:eastAsia="en-US"/>
    </w:rPr>
  </w:style>
  <w:style w:type="character" w:customStyle="1" w:styleId="FootnoteTextChar">
    <w:name w:val="Footnote Text Char"/>
    <w:basedOn w:val="DefaultParagraphFont"/>
    <w:link w:val="FootnoteText"/>
    <w:rsid w:val="00134694"/>
    <w:rPr>
      <w:sz w:val="16"/>
      <w:lang w:eastAsia="en-US"/>
    </w:rPr>
  </w:style>
  <w:style w:type="paragraph" w:styleId="HTMLPreformatted">
    <w:name w:val="HTML Preformatted"/>
    <w:basedOn w:val="Normal"/>
    <w:link w:val="HTMLPreformattedChar"/>
    <w:uiPriority w:val="99"/>
    <w:unhideWhenUsed/>
    <w:rsid w:val="00134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eastAsia="en-GB"/>
    </w:rPr>
  </w:style>
  <w:style w:type="character" w:customStyle="1" w:styleId="HTMLPreformattedChar">
    <w:name w:val="HTML Preformatted Char"/>
    <w:basedOn w:val="DefaultParagraphFont"/>
    <w:link w:val="HTMLPreformatted"/>
    <w:uiPriority w:val="99"/>
    <w:rsid w:val="00134694"/>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1054353823">
      <w:bodyDiv w:val="1"/>
      <w:marLeft w:val="0"/>
      <w:marRight w:val="0"/>
      <w:marTop w:val="0"/>
      <w:marBottom w:val="0"/>
      <w:divBdr>
        <w:top w:val="none" w:sz="0" w:space="0" w:color="auto"/>
        <w:left w:val="none" w:sz="0" w:space="0" w:color="auto"/>
        <w:bottom w:val="none" w:sz="0" w:space="0" w:color="auto"/>
        <w:right w:val="none" w:sz="0" w:space="0" w:color="auto"/>
      </w:divBdr>
    </w:div>
    <w:div w:id="11539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ris\Desktop\WEPLS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D2A2C-28E6-4AB5-9B26-923FB1A93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WEPLS005</Template>
  <TotalTime>632</TotalTime>
  <Pages>3</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Paul Hodgson</dc:creator>
  <cp:keywords/>
  <dc:description/>
  <cp:lastModifiedBy>Paul Hodgson</cp:lastModifiedBy>
  <cp:revision>58</cp:revision>
  <cp:lastPrinted>2009-04-29T20:54:00Z</cp:lastPrinted>
  <dcterms:created xsi:type="dcterms:W3CDTF">2010-05-13T06:00:00Z</dcterms:created>
  <dcterms:modified xsi:type="dcterms:W3CDTF">2010-05-18T08:48:00Z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-615193747</vt:i4>
  </property>
  <property fmtid="{D5CDD505-2E9C-101B-9397-08002B2CF9AE}" pid="3" name="_EmailSubject">
    <vt:lpwstr>Word XP Templates</vt:lpwstr>
  </property>
  <property fmtid="{D5CDD505-2E9C-101B-9397-08002B2CF9AE}" pid="4" name="_AuthorEmail">
    <vt:lpwstr>s.a.webber@worldnet.att.net</vt:lpwstr>
  </property>
  <property fmtid="{D5CDD505-2E9C-101B-9397-08002B2CF9AE}" pid="5" name="_AuthorEmailDisplayName">
    <vt:lpwstr>Sara Webber</vt:lpwstr>
  </property>
  <property fmtid="{D5CDD505-2E9C-101B-9397-08002B2CF9AE}" pid="6" name="_ReviewingToolsShownOnce">
    <vt:lpwstr/>
  </property>
</Properties>
</file>